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13F5" w14:textId="77777777" w:rsidR="00DF2C2F" w:rsidRPr="003E4735" w:rsidRDefault="00DF2C2F" w:rsidP="0013606F">
      <w:pPr>
        <w:spacing w:after="0" w:line="240" w:lineRule="auto"/>
        <w:jc w:val="right"/>
        <w:rPr>
          <w:rStyle w:val="s0"/>
          <w:color w:val="auto"/>
          <w:sz w:val="28"/>
          <w:szCs w:val="28"/>
        </w:rPr>
      </w:pPr>
    </w:p>
    <w:p w14:paraId="2746FC30" w14:textId="77777777" w:rsidR="006504D9" w:rsidRDefault="006504D9" w:rsidP="0013606F">
      <w:pPr>
        <w:spacing w:after="0" w:line="240" w:lineRule="auto"/>
        <w:jc w:val="right"/>
        <w:rPr>
          <w:rStyle w:val="s0"/>
          <w:color w:val="auto"/>
          <w:sz w:val="28"/>
          <w:szCs w:val="28"/>
        </w:rPr>
      </w:pPr>
      <w:proofErr w:type="spellStart"/>
      <w:r w:rsidRPr="006504D9">
        <w:rPr>
          <w:rStyle w:val="s0"/>
          <w:color w:val="auto"/>
          <w:sz w:val="28"/>
          <w:szCs w:val="28"/>
        </w:rPr>
        <w:t>Қазақстан</w:t>
      </w:r>
      <w:proofErr w:type="spellEnd"/>
      <w:r w:rsidRPr="006504D9">
        <w:rPr>
          <w:rStyle w:val="s0"/>
          <w:color w:val="auto"/>
          <w:sz w:val="28"/>
          <w:szCs w:val="28"/>
        </w:rPr>
        <w:t xml:space="preserve"> </w:t>
      </w:r>
      <w:proofErr w:type="spellStart"/>
      <w:r w:rsidRPr="006504D9">
        <w:rPr>
          <w:rStyle w:val="s0"/>
          <w:color w:val="auto"/>
          <w:sz w:val="28"/>
          <w:szCs w:val="28"/>
        </w:rPr>
        <w:t>Республикасы</w:t>
      </w:r>
      <w:proofErr w:type="spellEnd"/>
    </w:p>
    <w:p w14:paraId="1FF95B6A" w14:textId="77777777" w:rsidR="006504D9" w:rsidRDefault="006504D9" w:rsidP="0013606F">
      <w:pPr>
        <w:spacing w:after="0" w:line="240" w:lineRule="auto"/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504D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Энергетика </w:t>
      </w:r>
      <w:proofErr w:type="spellStart"/>
      <w:r w:rsidRPr="006504D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министрінің</w:t>
      </w:r>
      <w:proofErr w:type="spellEnd"/>
      <w:r w:rsidRPr="006504D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04D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бұйрығымен</w:t>
      </w:r>
      <w:proofErr w:type="spellEnd"/>
    </w:p>
    <w:p w14:paraId="13D72743" w14:textId="58381FF5" w:rsidR="006504D9" w:rsidRDefault="006504D9" w:rsidP="0013606F">
      <w:pPr>
        <w:spacing w:after="0" w:line="240" w:lineRule="auto"/>
        <w:jc w:val="right"/>
        <w:rPr>
          <w:rStyle w:val="s0"/>
          <w:sz w:val="28"/>
          <w:szCs w:val="28"/>
        </w:rPr>
      </w:pPr>
      <w:proofErr w:type="spellStart"/>
      <w:r w:rsidRPr="006504D9">
        <w:rPr>
          <w:rStyle w:val="s0"/>
          <w:sz w:val="28"/>
          <w:szCs w:val="28"/>
        </w:rPr>
        <w:t>Бекітілген</w:t>
      </w:r>
      <w:proofErr w:type="spellEnd"/>
    </w:p>
    <w:p w14:paraId="2A80D220" w14:textId="77777777" w:rsidR="006504D9" w:rsidRDefault="006504D9" w:rsidP="0013606F">
      <w:pPr>
        <w:spacing w:after="0" w:line="240" w:lineRule="auto"/>
        <w:jc w:val="right"/>
        <w:rPr>
          <w:rStyle w:val="s0"/>
          <w:sz w:val="28"/>
          <w:szCs w:val="28"/>
        </w:rPr>
      </w:pPr>
      <w:proofErr w:type="spellStart"/>
      <w:r w:rsidRPr="006504D9">
        <w:rPr>
          <w:rStyle w:val="s0"/>
          <w:sz w:val="28"/>
          <w:szCs w:val="28"/>
        </w:rPr>
        <w:t>бастап</w:t>
      </w:r>
      <w:proofErr w:type="spellEnd"/>
      <w:r w:rsidRPr="006504D9">
        <w:rPr>
          <w:rStyle w:val="s0"/>
          <w:sz w:val="28"/>
          <w:szCs w:val="28"/>
        </w:rPr>
        <w:t xml:space="preserve"> ___________ </w:t>
      </w:r>
      <w:proofErr w:type="spellStart"/>
      <w:r w:rsidRPr="006504D9">
        <w:rPr>
          <w:rStyle w:val="s0"/>
          <w:sz w:val="28"/>
          <w:szCs w:val="28"/>
        </w:rPr>
        <w:t>жыл</w:t>
      </w:r>
      <w:proofErr w:type="spellEnd"/>
      <w:r w:rsidRPr="006504D9">
        <w:rPr>
          <w:rStyle w:val="s0"/>
          <w:sz w:val="28"/>
          <w:szCs w:val="28"/>
        </w:rPr>
        <w:t xml:space="preserve"> № ____</w:t>
      </w:r>
    </w:p>
    <w:p w14:paraId="2ED627D5" w14:textId="2E5FC121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 </w:t>
      </w:r>
    </w:p>
    <w:p w14:paraId="68C2E4E7" w14:textId="77777777" w:rsidR="00D0334B" w:rsidRPr="003E4735" w:rsidRDefault="00D0334B" w:rsidP="00136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735">
        <w:rPr>
          <w:rStyle w:val="s0"/>
          <w:sz w:val="28"/>
          <w:szCs w:val="28"/>
        </w:rPr>
        <w:t> </w:t>
      </w:r>
    </w:p>
    <w:p w14:paraId="6ABD64BD" w14:textId="77777777" w:rsidR="002662CA" w:rsidRPr="002662CA" w:rsidRDefault="002662CA" w:rsidP="002662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35833299"/>
      <w:bookmarkStart w:id="1" w:name="z28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bookmarkEnd w:id="0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желілеріне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қосылу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және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жөніндегі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шағын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масштабты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объектілерді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пайдалану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қағидаларын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бекіту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туралы</w:t>
      </w:r>
      <w:proofErr w:type="spellEnd"/>
      <w:r w:rsidRPr="00266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1"/>
    </w:p>
    <w:p w14:paraId="51AE2BF0" w14:textId="77777777" w:rsidR="006504D9" w:rsidRPr="003E4735" w:rsidRDefault="006504D9" w:rsidP="0013606F">
      <w:pPr>
        <w:spacing w:after="0" w:line="240" w:lineRule="auto"/>
        <w:jc w:val="center"/>
        <w:rPr>
          <w:rStyle w:val="s1"/>
          <w:sz w:val="28"/>
          <w:szCs w:val="28"/>
        </w:rPr>
      </w:pPr>
    </w:p>
    <w:p w14:paraId="59CC5E13" w14:textId="6B502059" w:rsidR="00D0334B" w:rsidRPr="003E4735" w:rsidRDefault="006504D9" w:rsidP="00B93184">
      <w:pPr>
        <w:pStyle w:val="a5"/>
        <w:numPr>
          <w:ilvl w:val="0"/>
          <w:numId w:val="4"/>
        </w:numPr>
        <w:spacing w:after="0" w:line="240" w:lineRule="auto"/>
        <w:ind w:left="142" w:firstLine="0"/>
        <w:jc w:val="center"/>
        <w:rPr>
          <w:rStyle w:val="s1"/>
          <w:sz w:val="28"/>
          <w:szCs w:val="28"/>
        </w:rPr>
      </w:pPr>
      <w:proofErr w:type="spellStart"/>
      <w:r w:rsidRPr="006504D9">
        <w:rPr>
          <w:rStyle w:val="s1"/>
          <w:sz w:val="28"/>
          <w:szCs w:val="28"/>
        </w:rPr>
        <w:t>Жалпы</w:t>
      </w:r>
      <w:proofErr w:type="spellEnd"/>
      <w:r w:rsidRPr="006504D9">
        <w:rPr>
          <w:rStyle w:val="s1"/>
          <w:sz w:val="28"/>
          <w:szCs w:val="28"/>
        </w:rPr>
        <w:t xml:space="preserve"> </w:t>
      </w:r>
      <w:proofErr w:type="spellStart"/>
      <w:r w:rsidRPr="006504D9">
        <w:rPr>
          <w:rStyle w:val="s1"/>
          <w:sz w:val="28"/>
          <w:szCs w:val="28"/>
        </w:rPr>
        <w:t>ережелер</w:t>
      </w:r>
      <w:proofErr w:type="spellEnd"/>
    </w:p>
    <w:p w14:paraId="0CDFCCC2" w14:textId="5F7666F7" w:rsidR="00D0334B" w:rsidRPr="003E4735" w:rsidRDefault="00D0334B" w:rsidP="0013606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757D0" w14:textId="08ED6E6E" w:rsidR="006504D9" w:rsidRPr="006504D9" w:rsidRDefault="006504D9" w:rsidP="002662C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Осы </w:t>
      </w:r>
      <w:r w:rsidR="002662CA" w:rsidRPr="002662CA">
        <w:rPr>
          <w:rFonts w:ascii="Times New Roman" w:hAnsi="Times New Roman" w:cs="Times New Roman"/>
          <w:sz w:val="28"/>
          <w:szCs w:val="28"/>
        </w:rPr>
        <w:t xml:space="preserve">Электр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CA" w:rsidRPr="002662C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2662CA" w:rsidRPr="002662CA">
        <w:rPr>
          <w:rFonts w:ascii="Times New Roman" w:hAnsi="Times New Roman" w:cs="Times New Roman"/>
          <w:sz w:val="28"/>
          <w:szCs w:val="28"/>
        </w:rPr>
        <w:t>»</w:t>
      </w:r>
      <w:r w:rsidR="002662CA" w:rsidRPr="002662CA">
        <w:rPr>
          <w:rFonts w:ascii="Times New Roman" w:hAnsi="Times New Roman" w:cs="Times New Roman"/>
          <w:sz w:val="28"/>
          <w:szCs w:val="28"/>
        </w:rPr>
        <w:t xml:space="preserve"> </w:t>
      </w:r>
      <w:r w:rsidRPr="00650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" 2009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әрі-қағидалар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6-бабының 7-1)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тармағына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тұтынушыларға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1A60AF8A" w14:textId="77777777" w:rsidR="006504D9" w:rsidRP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2. Осы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:</w:t>
      </w:r>
    </w:p>
    <w:p w14:paraId="70EC443B" w14:textId="77777777" w:rsid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</w:p>
    <w:p w14:paraId="158716A9" w14:textId="3D4D5859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объект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әрі-шағын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объект) -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өндіруге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қуаты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киловаттқа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құрылыстар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инфрақұрылым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57A023DF" w14:textId="77777777" w:rsid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-нетто-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)</w:t>
      </w:r>
    </w:p>
    <w:p w14:paraId="3081FB37" w14:textId="2FEB8DD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құқығында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заттық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құқықта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объектіден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желісіне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желіден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жүйелерімен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жабдықталған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көздерінің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қондырғыларын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01EE6683" w14:textId="77777777" w:rsid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3)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ұйым-шарттар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жылу</w:t>
      </w:r>
      <w:proofErr w:type="spellEnd"/>
    </w:p>
    <w:p w14:paraId="058F3092" w14:textId="10F0D37F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415A5A37" w14:textId="77777777" w:rsid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жауапкершілігінің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шекарасы-теңгерімдік</w:t>
      </w:r>
      <w:proofErr w:type="spellEnd"/>
    </w:p>
    <w:p w14:paraId="6146FE5E" w14:textId="5FD9CB55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айқындалатын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субъектілер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теңгерімдік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тиесілігін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саралаудың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актісімен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күтіп-ұстауға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жай-күйіне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lastRenderedPageBreak/>
        <w:t>жүргізуші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субъектілер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нүктесі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128B5C0D" w14:textId="77777777" w:rsidR="006504D9" w:rsidRDefault="006504D9" w:rsidP="006504D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орган -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жаңартылатын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</w:p>
    <w:p w14:paraId="25FEA436" w14:textId="0AEBC904" w:rsidR="00322B75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басшылықты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салааралық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үйлестіруді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орталық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14:paraId="1271C1A1" w14:textId="77777777" w:rsidR="006504D9" w:rsidRPr="003E4735" w:rsidRDefault="006504D9" w:rsidP="006504D9">
      <w:pPr>
        <w:pStyle w:val="a5"/>
        <w:spacing w:after="0" w:line="240" w:lineRule="auto"/>
        <w:rPr>
          <w:sz w:val="28"/>
          <w:szCs w:val="28"/>
        </w:rPr>
      </w:pPr>
    </w:p>
    <w:p w14:paraId="2F728617" w14:textId="4F56F68A" w:rsidR="00322B75" w:rsidRPr="003E4735" w:rsidRDefault="00C85860" w:rsidP="00B93184">
      <w:pPr>
        <w:pStyle w:val="a5"/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47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bookmarkStart w:id="2" w:name="611515616"/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Шағын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масштабты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объектілерді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электр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желілеріне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қосудың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 w:cs="Times New Roman"/>
          <w:b/>
          <w:color w:val="000000"/>
          <w:sz w:val="28"/>
          <w:szCs w:val="28"/>
        </w:rPr>
        <w:t>шарттары</w:t>
      </w:r>
      <w:proofErr w:type="spellEnd"/>
    </w:p>
    <w:bookmarkEnd w:id="2"/>
    <w:p w14:paraId="3451568F" w14:textId="77777777" w:rsidR="00322B75" w:rsidRPr="003E4735" w:rsidRDefault="00322B75" w:rsidP="0013606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3DEF9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611515666"/>
      <w:r w:rsidRPr="006504D9">
        <w:rPr>
          <w:rFonts w:ascii="Times New Roman" w:hAnsi="Times New Roman" w:cs="Times New Roman"/>
          <w:sz w:val="28"/>
          <w:szCs w:val="28"/>
        </w:rPr>
        <w:t xml:space="preserve">1.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9-1-бабының 2-тармағына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шекаралары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бөлінгенге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нүктеде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тұтынушыны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желісіне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кедергісіз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003DCD9A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2.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3-тармағының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желісіне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5E0549EF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тұтынушылардан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-сату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қолданылу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ұзартылады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F2507D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4.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алғаннан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мерзімдерде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қосылатын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объектілерді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:</w:t>
      </w:r>
    </w:p>
    <w:p w14:paraId="6A06742B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қуаты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100 кВт дейін-3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14A38EA2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қуаты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100-ден 200 кВт-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дейін-5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;</w:t>
      </w:r>
    </w:p>
    <w:p w14:paraId="61A39DBD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шығындары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монополиялар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тарифіне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5CE74109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ресімдеу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алынбайды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2EB6ED42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тұтынушылардың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желілеріне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қосуға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:</w:t>
      </w:r>
    </w:p>
    <w:p w14:paraId="3AB8C189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функциясымен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желіден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аспаптарын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);</w:t>
      </w:r>
    </w:p>
    <w:p w14:paraId="5CE58653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2)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желілерінде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авариялық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теңгерімдік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тиесілілікті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ажырату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нүктесінде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lastRenderedPageBreak/>
        <w:t>режимде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токтан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ажыратуды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Инверторды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6C5F0B05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төндіретін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көрсетілуі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536BC19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талаптармен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,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сұратылған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6FDAD988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D9">
        <w:rPr>
          <w:rFonts w:ascii="Times New Roman" w:hAnsi="Times New Roman" w:cs="Times New Roman"/>
          <w:sz w:val="28"/>
          <w:szCs w:val="28"/>
        </w:rPr>
        <w:t>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негізсіздігі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энергетикалық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сараптаманың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2EE79BED" w14:textId="39D81711" w:rsidR="00FE0F68" w:rsidRDefault="006504D9" w:rsidP="0065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шарттарда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өзгертуден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тартқан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, нетто-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 w:cs="Times New Roman"/>
          <w:sz w:val="28"/>
          <w:szCs w:val="28"/>
        </w:rPr>
        <w:t>шағымданады</w:t>
      </w:r>
      <w:proofErr w:type="spellEnd"/>
      <w:r w:rsidRPr="006504D9">
        <w:rPr>
          <w:rFonts w:ascii="Times New Roman" w:hAnsi="Times New Roman" w:cs="Times New Roman"/>
          <w:sz w:val="28"/>
          <w:szCs w:val="28"/>
        </w:rPr>
        <w:t>.</w:t>
      </w:r>
    </w:p>
    <w:p w14:paraId="53491D9B" w14:textId="77777777" w:rsidR="006504D9" w:rsidRPr="003E4735" w:rsidRDefault="006504D9" w:rsidP="006504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F52D139" w14:textId="21E6B0EB" w:rsidR="005E5D10" w:rsidRPr="003E4735" w:rsidRDefault="00322B75" w:rsidP="001360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4735">
        <w:rPr>
          <w:rFonts w:ascii="Times New Roman" w:hAnsi="Times New Roman"/>
          <w:b/>
          <w:color w:val="000000"/>
          <w:sz w:val="28"/>
          <w:szCs w:val="28"/>
        </w:rPr>
        <w:t xml:space="preserve"> 3. </w:t>
      </w:r>
      <w:proofErr w:type="spellStart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>Шағын</w:t>
      </w:r>
      <w:proofErr w:type="spellEnd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>масштабты</w:t>
      </w:r>
      <w:proofErr w:type="spellEnd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>объектілерді</w:t>
      </w:r>
      <w:proofErr w:type="spellEnd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>пайдалануға</w:t>
      </w:r>
      <w:proofErr w:type="spellEnd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504D9" w:rsidRPr="006504D9">
        <w:rPr>
          <w:rFonts w:ascii="Times New Roman" w:hAnsi="Times New Roman"/>
          <w:b/>
          <w:color w:val="000000"/>
          <w:sz w:val="28"/>
          <w:szCs w:val="28"/>
        </w:rPr>
        <w:t>жіберу</w:t>
      </w:r>
      <w:proofErr w:type="spellEnd"/>
    </w:p>
    <w:p w14:paraId="22CE7835" w14:textId="562B1F0B" w:rsidR="00322B75" w:rsidRPr="003E4735" w:rsidRDefault="00322B75" w:rsidP="0013606F">
      <w:pPr>
        <w:spacing w:after="0" w:line="240" w:lineRule="auto"/>
        <w:jc w:val="center"/>
        <w:rPr>
          <w:sz w:val="28"/>
          <w:szCs w:val="28"/>
        </w:rPr>
      </w:pPr>
      <w:r w:rsidRPr="003E47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bookmarkEnd w:id="3"/>
    <w:p w14:paraId="120E50A5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4D9">
        <w:rPr>
          <w:rFonts w:ascii="Times New Roman" w:hAnsi="Times New Roman"/>
          <w:color w:val="000000"/>
          <w:sz w:val="28"/>
          <w:szCs w:val="28"/>
        </w:rPr>
        <w:t xml:space="preserve">8.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объектілерді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пайдалануға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жіберуді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орындалған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жұмыстардың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шарттарға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сәйкестігін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тексеру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арқылы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жұмыстардың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аяқталғаны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туралы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еркін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нысанда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Тұтынушыға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хабарлама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алған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сәттен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бастап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жұмыс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күні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ішінде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орындайды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>.</w:t>
      </w:r>
    </w:p>
    <w:p w14:paraId="4A3886B5" w14:textId="77777777" w:rsidR="006504D9" w:rsidRPr="006504D9" w:rsidRDefault="006504D9" w:rsidP="006504D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04D9"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Пайдалануға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берілгенге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объектілер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техникалық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шарттар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берген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ұйымның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қатысуымен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қабылдау-тапсыру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сынақтарынан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өтеді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>.</w:t>
      </w:r>
    </w:p>
    <w:p w14:paraId="7594B381" w14:textId="77777777" w:rsidR="006504D9" w:rsidRPr="006504D9" w:rsidRDefault="006504D9" w:rsidP="006504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04D9">
        <w:rPr>
          <w:rFonts w:ascii="Times New Roman" w:hAnsi="Times New Roman"/>
          <w:color w:val="000000"/>
          <w:sz w:val="28"/>
          <w:szCs w:val="28"/>
        </w:rPr>
        <w:t xml:space="preserve">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нетто-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анықталған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кемшіліктерді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олар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болған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кезде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жойғаннан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кейін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пайдалануға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жіберуді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қамтамасыз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етеді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>.</w:t>
      </w:r>
    </w:p>
    <w:p w14:paraId="0727DD72" w14:textId="64B74F53" w:rsidR="0064244F" w:rsidRPr="003E4735" w:rsidRDefault="006504D9" w:rsidP="006504D9">
      <w:pPr>
        <w:spacing w:after="0" w:line="240" w:lineRule="auto"/>
        <w:ind w:firstLine="720"/>
        <w:jc w:val="both"/>
        <w:rPr>
          <w:sz w:val="28"/>
          <w:szCs w:val="28"/>
        </w:rPr>
      </w:pPr>
      <w:r w:rsidRPr="006504D9">
        <w:rPr>
          <w:rFonts w:ascii="Times New Roman" w:hAnsi="Times New Roman"/>
          <w:color w:val="000000"/>
          <w:sz w:val="28"/>
          <w:szCs w:val="28"/>
        </w:rPr>
        <w:t xml:space="preserve">10.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Шағын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масштабты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объектіні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тарапынан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тараптардың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жауапкершілігі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шекарасына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қауіпсіз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пайдаланғаны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үшін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таза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тұтынушы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, 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тарапынан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тараптардың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пайдалану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жауапкершілігі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шекарасына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дейін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жауапты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болады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, энергия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беруші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ұйым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04D9">
        <w:rPr>
          <w:rFonts w:ascii="Times New Roman" w:hAnsi="Times New Roman"/>
          <w:color w:val="000000"/>
          <w:sz w:val="28"/>
          <w:szCs w:val="28"/>
        </w:rPr>
        <w:t>көтереді</w:t>
      </w:r>
      <w:proofErr w:type="spellEnd"/>
      <w:r w:rsidRPr="006504D9">
        <w:rPr>
          <w:rFonts w:ascii="Times New Roman" w:hAnsi="Times New Roman"/>
          <w:color w:val="000000"/>
          <w:sz w:val="28"/>
          <w:szCs w:val="28"/>
        </w:rPr>
        <w:t>.</w:t>
      </w:r>
    </w:p>
    <w:sectPr w:rsidR="0064244F" w:rsidRPr="003E4735" w:rsidSect="007057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3CB8" w14:textId="77777777" w:rsidR="00EB27E3" w:rsidRDefault="00EB27E3" w:rsidP="007057E0">
      <w:pPr>
        <w:spacing w:after="0" w:line="240" w:lineRule="auto"/>
      </w:pPr>
      <w:r>
        <w:separator/>
      </w:r>
    </w:p>
  </w:endnote>
  <w:endnote w:type="continuationSeparator" w:id="0">
    <w:p w14:paraId="0D141AB7" w14:textId="77777777" w:rsidR="00EB27E3" w:rsidRDefault="00EB27E3" w:rsidP="0070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4442" w14:textId="77777777" w:rsidR="00EB27E3" w:rsidRDefault="00EB27E3" w:rsidP="007057E0">
      <w:pPr>
        <w:spacing w:after="0" w:line="240" w:lineRule="auto"/>
      </w:pPr>
      <w:r>
        <w:separator/>
      </w:r>
    </w:p>
  </w:footnote>
  <w:footnote w:type="continuationSeparator" w:id="0">
    <w:p w14:paraId="460F5C2A" w14:textId="77777777" w:rsidR="00EB27E3" w:rsidRDefault="00EB27E3" w:rsidP="0070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671860"/>
      <w:docPartObj>
        <w:docPartGallery w:val="Page Numbers (Top of Page)"/>
        <w:docPartUnique/>
      </w:docPartObj>
    </w:sdtPr>
    <w:sdtEndPr/>
    <w:sdtContent>
      <w:p w14:paraId="094F7A1A" w14:textId="67322912" w:rsidR="007057E0" w:rsidRDefault="007057E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D3AC0" w14:textId="77777777" w:rsidR="007057E0" w:rsidRDefault="007057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3E"/>
    <w:multiLevelType w:val="hybridMultilevel"/>
    <w:tmpl w:val="50182D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056"/>
    <w:multiLevelType w:val="hybridMultilevel"/>
    <w:tmpl w:val="E020C66E"/>
    <w:lvl w:ilvl="0" w:tplc="2D6614C4">
      <w:start w:val="1"/>
      <w:numFmt w:val="decimal"/>
      <w:suff w:val="space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80" w:hanging="360"/>
      </w:pPr>
    </w:lvl>
    <w:lvl w:ilvl="2" w:tplc="2000001B" w:tentative="1">
      <w:start w:val="1"/>
      <w:numFmt w:val="lowerRoman"/>
      <w:lvlText w:val="%3."/>
      <w:lvlJc w:val="right"/>
      <w:pPr>
        <w:ind w:left="2300" w:hanging="180"/>
      </w:pPr>
    </w:lvl>
    <w:lvl w:ilvl="3" w:tplc="2000000F" w:tentative="1">
      <w:start w:val="1"/>
      <w:numFmt w:val="decimal"/>
      <w:lvlText w:val="%4."/>
      <w:lvlJc w:val="left"/>
      <w:pPr>
        <w:ind w:left="3020" w:hanging="360"/>
      </w:pPr>
    </w:lvl>
    <w:lvl w:ilvl="4" w:tplc="20000019" w:tentative="1">
      <w:start w:val="1"/>
      <w:numFmt w:val="lowerLetter"/>
      <w:lvlText w:val="%5."/>
      <w:lvlJc w:val="left"/>
      <w:pPr>
        <w:ind w:left="3740" w:hanging="360"/>
      </w:pPr>
    </w:lvl>
    <w:lvl w:ilvl="5" w:tplc="2000001B" w:tentative="1">
      <w:start w:val="1"/>
      <w:numFmt w:val="lowerRoman"/>
      <w:lvlText w:val="%6."/>
      <w:lvlJc w:val="right"/>
      <w:pPr>
        <w:ind w:left="4460" w:hanging="180"/>
      </w:pPr>
    </w:lvl>
    <w:lvl w:ilvl="6" w:tplc="2000000F" w:tentative="1">
      <w:start w:val="1"/>
      <w:numFmt w:val="decimal"/>
      <w:lvlText w:val="%7."/>
      <w:lvlJc w:val="left"/>
      <w:pPr>
        <w:ind w:left="5180" w:hanging="360"/>
      </w:pPr>
    </w:lvl>
    <w:lvl w:ilvl="7" w:tplc="20000019" w:tentative="1">
      <w:start w:val="1"/>
      <w:numFmt w:val="lowerLetter"/>
      <w:lvlText w:val="%8."/>
      <w:lvlJc w:val="left"/>
      <w:pPr>
        <w:ind w:left="5900" w:hanging="360"/>
      </w:pPr>
    </w:lvl>
    <w:lvl w:ilvl="8" w:tplc="200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A1217DF"/>
    <w:multiLevelType w:val="hybridMultilevel"/>
    <w:tmpl w:val="ED2EBF46"/>
    <w:lvl w:ilvl="0" w:tplc="640A383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64CEB"/>
    <w:multiLevelType w:val="hybridMultilevel"/>
    <w:tmpl w:val="D2F0E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77B0"/>
    <w:multiLevelType w:val="hybridMultilevel"/>
    <w:tmpl w:val="4D9CE736"/>
    <w:lvl w:ilvl="0" w:tplc="A2B803E4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761A7"/>
    <w:multiLevelType w:val="hybridMultilevel"/>
    <w:tmpl w:val="C0E82282"/>
    <w:lvl w:ilvl="0" w:tplc="FDAA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B9347D"/>
    <w:multiLevelType w:val="hybridMultilevel"/>
    <w:tmpl w:val="6764DC96"/>
    <w:lvl w:ilvl="0" w:tplc="B9080B6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75"/>
    <w:rsid w:val="00022F64"/>
    <w:rsid w:val="000639A0"/>
    <w:rsid w:val="00075983"/>
    <w:rsid w:val="000974A7"/>
    <w:rsid w:val="0013606F"/>
    <w:rsid w:val="00160C86"/>
    <w:rsid w:val="001733F4"/>
    <w:rsid w:val="0018168E"/>
    <w:rsid w:val="00184860"/>
    <w:rsid w:val="00185D8F"/>
    <w:rsid w:val="001A72FC"/>
    <w:rsid w:val="00220DC5"/>
    <w:rsid w:val="002662CA"/>
    <w:rsid w:val="002A7455"/>
    <w:rsid w:val="002C3235"/>
    <w:rsid w:val="002F174C"/>
    <w:rsid w:val="00301785"/>
    <w:rsid w:val="00322B75"/>
    <w:rsid w:val="003345D0"/>
    <w:rsid w:val="00377E73"/>
    <w:rsid w:val="003E4735"/>
    <w:rsid w:val="004D4AA1"/>
    <w:rsid w:val="005E20A0"/>
    <w:rsid w:val="005E5D10"/>
    <w:rsid w:val="006154D3"/>
    <w:rsid w:val="0064244F"/>
    <w:rsid w:val="006504D9"/>
    <w:rsid w:val="006C6CB6"/>
    <w:rsid w:val="007057E0"/>
    <w:rsid w:val="00731402"/>
    <w:rsid w:val="00790900"/>
    <w:rsid w:val="007945FA"/>
    <w:rsid w:val="007D6A41"/>
    <w:rsid w:val="00801653"/>
    <w:rsid w:val="008337DC"/>
    <w:rsid w:val="008A1BF2"/>
    <w:rsid w:val="009E196A"/>
    <w:rsid w:val="00A050AE"/>
    <w:rsid w:val="00A248E7"/>
    <w:rsid w:val="00A63494"/>
    <w:rsid w:val="00B70323"/>
    <w:rsid w:val="00B85137"/>
    <w:rsid w:val="00B93184"/>
    <w:rsid w:val="00BD1EFE"/>
    <w:rsid w:val="00C22FC4"/>
    <w:rsid w:val="00C46027"/>
    <w:rsid w:val="00C617BC"/>
    <w:rsid w:val="00C85860"/>
    <w:rsid w:val="00D0334B"/>
    <w:rsid w:val="00DF2C2F"/>
    <w:rsid w:val="00E32B92"/>
    <w:rsid w:val="00EB27E3"/>
    <w:rsid w:val="00F06A78"/>
    <w:rsid w:val="00F674E5"/>
    <w:rsid w:val="00FB2208"/>
    <w:rsid w:val="00FB311C"/>
    <w:rsid w:val="00FC1B25"/>
    <w:rsid w:val="00FE0F68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A22"/>
  <w15:chartTrackingRefBased/>
  <w15:docId w15:val="{0F6213AA-E434-4AC1-B684-E852DDB1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B7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322B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2B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customStyle="1" w:styleId="a6">
    <w:name w:val="a"/>
    <w:rsid w:val="00D0334B"/>
    <w:rPr>
      <w:color w:val="333399"/>
      <w:u w:val="single"/>
    </w:rPr>
  </w:style>
  <w:style w:type="character" w:customStyle="1" w:styleId="s0">
    <w:name w:val="s0"/>
    <w:rsid w:val="00D033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D0334B"/>
    <w:rPr>
      <w:rFonts w:ascii="Times New Roman" w:hAnsi="Times New Roman" w:cs="Times New Roman" w:hint="default"/>
      <w:b/>
      <w:bCs/>
      <w:color w:val="000000"/>
    </w:rPr>
  </w:style>
  <w:style w:type="character" w:styleId="a7">
    <w:name w:val="annotation reference"/>
    <w:basedOn w:val="a0"/>
    <w:uiPriority w:val="99"/>
    <w:semiHidden/>
    <w:unhideWhenUsed/>
    <w:rsid w:val="004D4AA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D4A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D4A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4A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4AA1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32B92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70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57E0"/>
  </w:style>
  <w:style w:type="paragraph" w:styleId="af">
    <w:name w:val="footer"/>
    <w:basedOn w:val="a"/>
    <w:link w:val="af0"/>
    <w:uiPriority w:val="99"/>
    <w:unhideWhenUsed/>
    <w:rsid w:val="0070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8AAB-E9AF-4F7E-8B66-FF349DC1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 Katerusha</dc:creator>
  <cp:keywords/>
  <dc:description/>
  <cp:lastModifiedBy>Лэйла Омарханова</cp:lastModifiedBy>
  <cp:revision>3</cp:revision>
  <dcterms:created xsi:type="dcterms:W3CDTF">2024-06-11T08:59:00Z</dcterms:created>
  <dcterms:modified xsi:type="dcterms:W3CDTF">2024-06-12T14:49:00Z</dcterms:modified>
</cp:coreProperties>
</file>