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officeDocument/2006/relationships/extended-properties" Target="docProps/app.xml"/>
  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 w15">
  <w:body>
    <!-- Modified by docx4j 6.1.2 (Apache licensed) using ORACLE_JRE JAXB in Sun Microsystems Inc. Java 1.6.0_37 on Linux -->
    <w:p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</w:t>
      </w:r>
      <w:r w:rsidR="00DA79A3">
        <w:rPr>
          <w:color w:val="3399FF"/>
          <w:lang w:val="kk-KZ"/>
        </w:rPr>
        <w:t xml:space="preserve">         Астана</w:t>
      </w:r>
      <w:r w:rsidR="00EF4E93">
        <w:rPr>
          <w:color w:val="3399FF"/>
          <w:lang w:val="kk-KZ"/>
        </w:rPr>
        <w:t xml:space="preserve"> қ</w:t>
      </w:r>
      <w:r w:rsidR="00EF4E93">
        <w:rPr>
          <w:color w:val="3399FF"/>
        </w:rPr>
        <w:t xml:space="preserve">аласы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</w:t>
      </w:r>
      <w:r>
        <w:rPr>
          <w:color w:val="3399FF"/>
          <w:lang w:val="kk-KZ"/>
        </w:rPr>
        <w:t xml:space="preserve"> </w:t>
      </w:r>
      <w:r w:rsidR="00EF4E93">
        <w:rPr>
          <w:color w:val="3399FF"/>
          <w:lang w:val="kk-KZ"/>
        </w:rPr>
        <w:t xml:space="preserve">           город </w:t>
      </w:r>
      <w:r w:rsidR="00DA79A3">
        <w:rPr>
          <w:color w:val="3399FF"/>
          <w:lang w:val="kk-KZ"/>
        </w:rPr>
        <w:t xml:space="preserve">Астана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     </w:t>
      </w:r>
      <w:r w:rsidR="00EF4E93" w:rsidRPr="00D31102">
        <w:rPr>
          <w:color w:val="3399FF"/>
          <w:lang w:val="kk-KZ"/>
        </w:rPr>
        <w:t xml:space="preserve"> </w:t>
      </w:r>
    </w:p>
    <w:p>
      <w:pPr>
        <w:rPr/>
      </w:pPr>
    </w:p>
    <w:p>
      <w:pPr>
        <w:rPr/>
      </w:pPr>
    </w:p>
    <w:p>
      <w:pPr>
        <w:jc w:val="center"/>
        <w:rPr>
          <w:b/>
          <w:bCs/>
          <w:color w:val="000000"/>
          <w:sz w:val="28"/>
          <w:szCs w:val="28"/>
        </w:rPr>
      </w:pPr>
      <w:r w:rsidRPr="00D008AC">
        <w:rPr>
          <w:b/>
          <w:sz w:val="28"/>
        </w:rPr>
        <w:t xml:space="preserve">О внесении изменений в некоторые приказы Министра </w:t>
      </w:r>
      <w:r w:rsidRPr="00D008AC">
        <w:rPr>
          <w:b/>
          <w:sz w:val="28"/>
          <w:lang w:val="kk-KZ"/>
        </w:rPr>
        <w:t xml:space="preserve">энергетики</w:t>
      </w:r>
      <w:r w:rsidRPr="00D008AC">
        <w:rPr>
          <w:b/>
          <w:sz w:val="28"/>
        </w:rPr>
        <w:t xml:space="preserve"> Республики Казахстан</w:t>
      </w:r>
    </w:p>
    <w:p>
      <w:pPr>
        <w:tabs>
          <w:tab w:pos="5400" w:val="left"/>
        </w:tabs>
        <w:rPr>
          <w:b/>
          <w:bCs/>
          <w:color w:val="000000"/>
          <w:sz w:val="28"/>
          <w:szCs w:val="28"/>
        </w:rPr>
      </w:pPr>
      <w:r w:rsidRPr="00D008AC">
        <w:rPr>
          <w:b/>
          <w:bCs/>
          <w:color w:val="000000"/>
          <w:sz w:val="28"/>
          <w:szCs w:val="28"/>
        </w:rPr>
        <w:tab/>
      </w:r>
    </w:p>
    <w:p>
      <w:pPr>
        <w:jc w:val="center"/>
        <w:rPr>
          <w:b/>
          <w:bCs/>
          <w:color w:val="000000"/>
          <w:sz w:val="28"/>
          <w:szCs w:val="28"/>
        </w:rPr>
      </w:pPr>
    </w:p>
    <w:p>
      <w:pPr>
        <w:tabs>
          <w:tab w:pos="426" w:val="left"/>
        </w:tabs>
        <w:ind w:firstLine="709"/>
        <w:jc w:val="both"/>
        <w:rPr>
          <w:color w:val="000000"/>
          <w:sz w:val="28"/>
          <w:szCs w:val="28"/>
          <w:shd w:fill="FFFFFF" w:color="auto" w:val="clear"/>
        </w:rPr>
      </w:pPr>
      <w:r w:rsidRPr="00D008AC">
        <w:rPr>
          <w:b/>
          <w:bCs/>
          <w:color w:val="000000"/>
          <w:sz w:val="28"/>
          <w:szCs w:val="28"/>
          <w:shd w:fill="FFFFFF" w:color="auto" w:val="clear"/>
        </w:rPr>
        <w:t xml:space="preserve">ПРИКАЗЫВАЮ</w:t>
      </w:r>
      <w:r w:rsidRPr="00D008AC">
        <w:rPr>
          <w:color w:val="000000"/>
          <w:sz w:val="28"/>
          <w:szCs w:val="28"/>
          <w:shd w:fill="FFFFFF" w:color="auto" w:val="clear"/>
        </w:rPr>
        <w:t xml:space="preserve">:</w:t>
      </w:r>
    </w:p>
    <w:p>
      <w:pPr>
        <w:tabs>
          <w:tab w:pos="0" w:val="left"/>
        </w:tabs>
        <w:ind w:firstLine="709"/>
        <w:jc w:val="both"/>
        <w:rPr>
          <w:sz w:val="28"/>
          <w:szCs w:val="28"/>
        </w:rPr>
      </w:pPr>
      <w:r w:rsidRPr="00D008AC">
        <w:rPr>
          <w:rFonts w:eastAsia="Calibri"/>
          <w:sz w:val="28"/>
          <w:szCs w:val="28"/>
          <w:lang w:val="kk-KZ"/>
        </w:rPr>
        <w:t xml:space="preserve">1. </w:t>
      </w:r>
      <w:r w:rsidRPr="00D008AC">
        <w:rPr>
          <w:rFonts w:eastAsia="Calibri"/>
          <w:sz w:val="28"/>
          <w:szCs w:val="28"/>
        </w:rPr>
        <w:t xml:space="preserve">Внести в приказ Министра энергетики Республики Казахстан от </w:t>
      </w:r>
      <w:r>
        <w:rPr>
          <w:rFonts w:eastAsia="Calibri"/>
          <w:sz w:val="28"/>
          <w:szCs w:val="28"/>
        </w:rPr>
        <w:br/>
      </w:r>
      <w:r w:rsidRPr="00D008AC">
        <w:rPr>
          <w:rFonts w:eastAsia="Calibri"/>
          <w:sz w:val="28"/>
          <w:szCs w:val="28"/>
        </w:rPr>
        <w:t xml:space="preserve">3 декабря 2015 года №</w:t>
      </w:r>
      <w:r w:rsidRPr="00D008AC">
        <w:rPr>
          <w:rFonts w:eastAsia="Calibri"/>
          <w:sz w:val="28"/>
          <w:szCs w:val="28"/>
          <w:lang w:val="kk-KZ"/>
        </w:rPr>
        <w:t xml:space="preserve"> </w:t>
      </w:r>
      <w:r w:rsidRPr="00D008AC">
        <w:rPr>
          <w:rFonts w:eastAsia="Calibri"/>
          <w:sz w:val="28"/>
          <w:szCs w:val="28"/>
        </w:rPr>
        <w:t xml:space="preserve">683 «Об утверждении Типового договора о покупке услуги по поддержанию готовности электрической мощности» (зарегистрирован в Реестре государственной регистрации нормативных правовых актов за № 12522)</w:t>
      </w:r>
      <w:r w:rsidRPr="00D008AC">
        <w:rPr>
          <w:rFonts w:eastAsia="Calibri"/>
          <w:sz w:val="28"/>
          <w:szCs w:val="28"/>
          <w:lang w:val="kk-KZ"/>
        </w:rPr>
        <w:t xml:space="preserve"> </w:t>
      </w:r>
      <w:r w:rsidRPr="00D008AC">
        <w:rPr>
          <w:sz w:val="28"/>
          <w:szCs w:val="28"/>
        </w:rPr>
        <w:t xml:space="preserve">следующие изменения: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</w:rPr>
      </w:pPr>
      <w:r w:rsidRPr="00D008AC">
        <w:rPr>
          <w:rFonts w:eastAsia="Calibri"/>
          <w:sz w:val="28"/>
          <w:szCs w:val="28"/>
        </w:rPr>
        <w:t xml:space="preserve">в Типовом </w:t>
      </w:r>
      <w:r w:rsidRPr="00CE5304">
        <w:rPr>
          <w:rFonts w:eastAsia="Calibri"/>
          <w:sz w:val="28"/>
          <w:szCs w:val="28"/>
        </w:rPr>
        <w:t xml:space="preserve">договоре о покупке услуги по поддержанию готовности электрической мощности, утвержденном указанным приказом:</w:t>
      </w:r>
    </w:p>
    <w:p>
      <w:pPr>
        <w:ind w:firstLine="709"/>
        <w:jc w:val="both"/>
        <w:rPr>
          <w:sz w:val="28"/>
          <w:szCs w:val="28"/>
        </w:rPr>
      </w:pPr>
      <w:r w:rsidRPr="00CE5304">
        <w:rPr>
          <w:sz w:val="28"/>
          <w:szCs w:val="28"/>
        </w:rPr>
        <w:t xml:space="preserve">в пункте 1:</w:t>
      </w:r>
    </w:p>
    <w:p>
      <w:pPr>
        <w:ind w:firstLine="709"/>
        <w:jc w:val="both"/>
        <w:rPr>
          <w:sz w:val="28"/>
          <w:szCs w:val="28"/>
        </w:rPr>
      </w:pPr>
      <w:r w:rsidRPr="00CE5304">
        <w:rPr>
          <w:sz w:val="28"/>
          <w:szCs w:val="28"/>
        </w:rPr>
        <w:t xml:space="preserve">подпункт 10) </w:t>
      </w:r>
      <w:r w:rsidRPr="00CE5304">
        <w:rPr>
          <w:sz w:val="28"/>
          <w:szCs w:val="28"/>
          <w:lang w:val="kk-KZ"/>
        </w:rPr>
        <w:t xml:space="preserve">исключить;</w:t>
      </w:r>
    </w:p>
    <w:p>
      <w:pPr>
        <w:ind w:firstLine="709"/>
        <w:jc w:val="both"/>
        <w:rPr>
          <w:sz w:val="28"/>
          <w:szCs w:val="28"/>
        </w:rPr>
      </w:pPr>
      <w:r w:rsidRPr="00CE5304">
        <w:rPr>
          <w:sz w:val="28"/>
          <w:szCs w:val="28"/>
        </w:rPr>
        <w:t xml:space="preserve">подпункт 11) изложить в новой редакции: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 xml:space="preserve">«11) технический минимум – сумма минимальных допустимых электрических мощностей генерирующих установок: для конденсационных, теплофикационных, газотурбинных и парогазовых электрических станций - по условиям обеспечения стабильности их работы согласно соответствующим паспортным данным, для гидравлических электрических станций по условиям обеспечения, заданным расходам воды бассейновыми инспекциями по регулированию использования и охране водных ресурсов расходов воды, в соответствии со статьей 40 Водного кодекса Республики Казахстан, в МВт;»;</w:t>
      </w:r>
    </w:p>
    <w:p>
      <w:pPr>
        <w:ind w:firstLine="709"/>
        <w:jc w:val="both"/>
        <w:rPr>
          <w:color w:val="000000"/>
          <w:sz w:val="28"/>
          <w:szCs w:val="28"/>
        </w:rPr>
      </w:pPr>
      <w:r w:rsidRPr="00CE5304">
        <w:rPr>
          <w:color w:val="000000"/>
          <w:sz w:val="28"/>
          <w:szCs w:val="28"/>
        </w:rPr>
        <w:t xml:space="preserve">подпункты 1</w:t>
      </w:r>
      <w:r w:rsidRPr="00CE5304">
        <w:rPr>
          <w:color w:val="000000"/>
          <w:sz w:val="28"/>
          <w:szCs w:val="28"/>
          <w:lang w:val="kk-KZ"/>
        </w:rPr>
        <w:t xml:space="preserve">4</w:t>
      </w:r>
      <w:r w:rsidRPr="00CE5304">
        <w:rPr>
          <w:color w:val="000000"/>
          <w:sz w:val="28"/>
          <w:szCs w:val="28"/>
        </w:rPr>
        <w:t xml:space="preserve">) и 1</w:t>
      </w:r>
      <w:r w:rsidRPr="00CE5304">
        <w:rPr>
          <w:color w:val="000000"/>
          <w:sz w:val="28"/>
          <w:szCs w:val="28"/>
          <w:lang w:val="kk-KZ"/>
        </w:rPr>
        <w:t xml:space="preserve">5</w:t>
      </w:r>
      <w:r w:rsidRPr="00CE5304">
        <w:rPr>
          <w:color w:val="000000"/>
          <w:sz w:val="28"/>
          <w:szCs w:val="28"/>
        </w:rPr>
        <w:t xml:space="preserve">) изложить в новой редакции: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 xml:space="preserve">«14) аттестованная скорость уменьшения электрической мощности – среднее значение скорости уменьшения электрической мощности электрической </w:t>
      </w:r>
      <w:r w:rsidRPr="00CE5304">
        <w:rPr>
          <w:rFonts w:eastAsia="Calibri"/>
          <w:sz w:val="28"/>
          <w:szCs w:val="28"/>
        </w:rPr>
        <w:t xml:space="preserve">станци</w:t>
      </w:r>
      <w:r w:rsidRPr="00CE5304">
        <w:rPr>
          <w:rFonts w:eastAsia="Calibri"/>
          <w:sz w:val="28"/>
          <w:szCs w:val="28"/>
          <w:lang w:val="kk-KZ"/>
        </w:rPr>
        <w:t xml:space="preserve">ей</w:t>
      </w:r>
      <w:r w:rsidRPr="00CE5304">
        <w:rPr>
          <w:rFonts w:eastAsia="Calibri"/>
          <w:sz w:val="28"/>
          <w:szCs w:val="28"/>
        </w:rPr>
        <w:t xml:space="preserve"> </w:t>
      </w:r>
      <w:r w:rsidRPr="00CE5304">
        <w:rPr>
          <w:rFonts w:eastAsia="Calibri"/>
          <w:sz w:val="28"/>
          <w:szCs w:val="28"/>
        </w:rPr>
        <w:t xml:space="preserve">энергопроизводящей</w:t>
      </w:r>
      <w:r w:rsidRPr="00CE5304">
        <w:rPr>
          <w:rFonts w:eastAsia="Calibri"/>
          <w:sz w:val="28"/>
          <w:szCs w:val="28"/>
        </w:rPr>
        <w:t xml:space="preserve"> организации зафиксированное между временем начала фиксации значения скорости уменьшения электрической мощности генерации и временем его окончания, в МВт/минут;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 xml:space="preserve">15) аттестованная скорость увеличения электрической мощности – среднее значение скорости увеличения электрической мощности генерирующих установок электрической станции </w:t>
      </w:r>
      <w:r w:rsidRPr="00CE5304">
        <w:rPr>
          <w:rFonts w:eastAsia="Calibri"/>
          <w:sz w:val="28"/>
          <w:szCs w:val="28"/>
        </w:rPr>
        <w:t xml:space="preserve">энергопроизводящей</w:t>
      </w:r>
      <w:r w:rsidRPr="00CE5304">
        <w:rPr>
          <w:rFonts w:eastAsia="Calibri"/>
          <w:sz w:val="28"/>
          <w:szCs w:val="28"/>
        </w:rPr>
        <w:t xml:space="preserve"> организации между временем начала фиксации значения скорости увеличения электрической мощности генерации и временем его окончания, в МВт/минут;»;</w:t>
      </w:r>
    </w:p>
    <w:p>
      <w:pPr>
        <w:ind w:firstLine="709"/>
        <w:jc w:val="both"/>
        <w:rPr>
          <w:sz w:val="28"/>
          <w:szCs w:val="28"/>
        </w:rPr>
      </w:pPr>
      <w:r w:rsidRPr="00CE5304">
        <w:rPr>
          <w:sz w:val="28"/>
          <w:szCs w:val="28"/>
        </w:rPr>
        <w:t xml:space="preserve">подпункты 6) и </w:t>
      </w:r>
      <w:r w:rsidRPr="00CE5304">
        <w:rPr>
          <w:sz w:val="28"/>
          <w:szCs w:val="28"/>
          <w:lang w:val="kk-KZ"/>
        </w:rPr>
        <w:t xml:space="preserve">7</w:t>
      </w:r>
      <w:r w:rsidRPr="00CE5304">
        <w:rPr>
          <w:sz w:val="28"/>
          <w:szCs w:val="28"/>
        </w:rPr>
        <w:t xml:space="preserve">) пункта 9 изложить в новой редакции: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  <w:lang w:val="kk-KZ"/>
        </w:rPr>
      </w:pPr>
      <w:r w:rsidRPr="00CE5304">
        <w:rPr>
          <w:rFonts w:eastAsia="Calibri"/>
          <w:sz w:val="28"/>
          <w:szCs w:val="28"/>
          <w:lang w:val="kk-KZ"/>
        </w:rPr>
        <w:t xml:space="preserve">«6) выставлять требование на оплату по соответствующей банковской гарантии или резервному аккредитиву при не предоставлении копии уведомления о начале строительно-монтажных работ вновь вводимых в эксплуатацию генерирующих установок с маневренным режимом генерации (обеспечивающих исполнение настоящего Договора), направленного в государственный орган, осуществляющий государственный архитектурно-строительный контроль, в течение 24 (двадцати четырех) месяцев с даты подписания настоящего Договора для газовых электростанций и гидроэлектростанций - в размере 30 % от суммы финансового обеспечения исполнения условий настоящего Договора;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  <w:lang w:val="kk-KZ"/>
        </w:rPr>
      </w:pPr>
      <w:r w:rsidRPr="00CE5304">
        <w:rPr>
          <w:rFonts w:eastAsia="Calibri"/>
          <w:sz w:val="28"/>
          <w:szCs w:val="28"/>
          <w:lang w:val="kk-KZ"/>
        </w:rPr>
        <w:t xml:space="preserve">7) выставлять требование на оплату по соответствующей банковской гарантии или резервному аккредитиву при не предоставлении копии акта приемки в эксплуатацию вновь вводимых в эксплуатацию генерирующих установок с маневренным режимом генерации (обеспечивающих исполнение настоящего Договора), утвержденного в соответствии с пунктом 4 статьи 74 Закона Республики Казахстан «Об архитектурной, градостроительной и строительной деятельности в Республике Казахстан» (далее – Закон о строительной деятельности) в течение 48 (сорока восьми) месяцев с даты подписания настоящего Договора для газовых электростанций, в течение 60 (шестидесяти) месяцев с даты подписания настоящего Договора, для гидроэлектростанций - в размере 100 % от суммы финансового обеспечения исполнения условий настоящего Договора, а при удержания части финансового обеспечения исполнения условий настоящего Договора в соответствии с подпунктом 6) настоящего пункта – 70 % суммы финансового обеспечения исполнения условий настоящего Договора.»;</w:t>
      </w:r>
    </w:p>
    <w:p>
      <w:pPr>
        <w:ind w:firstLine="709"/>
        <w:jc w:val="both"/>
        <w:rPr>
          <w:sz w:val="28"/>
          <w:szCs w:val="28"/>
        </w:rPr>
      </w:pPr>
      <w:r w:rsidRPr="00CE5304">
        <w:rPr>
          <w:sz w:val="28"/>
          <w:szCs w:val="28"/>
        </w:rPr>
        <w:t xml:space="preserve">подпункты 20) и 21) пункта 11 изложить в новой редакции:</w:t>
      </w:r>
    </w:p>
    <w:p>
      <w:pPr>
        <w:ind w:firstLine="709"/>
        <w:jc w:val="both"/>
        <w:rPr>
          <w:sz w:val="28"/>
          <w:szCs w:val="28"/>
        </w:rPr>
      </w:pPr>
      <w:r w:rsidRPr="00CE5304">
        <w:rPr>
          <w:sz w:val="28"/>
          <w:szCs w:val="28"/>
        </w:rPr>
        <w:t xml:space="preserve">«20) предоставить копию уведомления о начале строительно-монтажных работ, вновь вводимых в эксплуатацию генерирующих установок с маневренным режимом генерации (обеспечивающих исполнение настоящего договора), направленного в государственный орган, осуществляющий государственный архитектурно-строительный контроль, для газовых электростанций и гидроэлектростанций в течение 24 (двадцати четырех) месяцев с даты подписания настоящего договора;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 xml:space="preserve">21) предоставить копию акта приемки в эксплуатацию вновь вводимых в эксплуатацию генерирующих установок с маневренным режимом генерации (обеспечивающих исполнение настоящего Договора), утвержденного в порядке, определенном Законом о строительной деятельности, для газовых электростанций</w:t>
      </w:r>
      <w:r w:rsidRPr="00CE5304">
        <w:rPr>
          <w:rFonts w:eastAsia="Calibri"/>
          <w:sz w:val="28"/>
          <w:szCs w:val="28"/>
          <w:lang w:val="kk-KZ"/>
        </w:rPr>
        <w:t xml:space="preserve"> </w:t>
      </w:r>
      <w:r w:rsidRPr="00CE5304">
        <w:rPr>
          <w:rFonts w:eastAsia="Calibri"/>
          <w:sz w:val="28"/>
          <w:szCs w:val="28"/>
        </w:rPr>
        <w:t xml:space="preserve">в течение 48 (сорока восьми) месяцев с даты подписания настоящего договора, для гидроэлектростанций - в течение 60 (шестидесяти) месяцев с даты подписания настоящего Договора;».</w:t>
      </w:r>
    </w:p>
    <w:p>
      <w:pPr>
        <w:tabs>
          <w:tab w:pos="0" w:val="left"/>
        </w:tabs>
        <w:ind w:firstLine="709"/>
        <w:jc w:val="both"/>
        <w:rPr>
          <w:sz w:val="28"/>
          <w:szCs w:val="28"/>
        </w:rPr>
      </w:pPr>
      <w:r w:rsidRPr="00CE5304">
        <w:rPr>
          <w:rFonts w:eastAsia="Calibri"/>
          <w:sz w:val="28"/>
          <w:szCs w:val="28"/>
        </w:rPr>
        <w:t xml:space="preserve">2. </w:t>
      </w:r>
      <w:r w:rsidRPr="00CE5304">
        <w:rPr>
          <w:sz w:val="28"/>
          <w:szCs w:val="28"/>
          <w:shd w:fill="FFFFFF" w:color="auto" w:val="clear"/>
        </w:rPr>
        <w:t xml:space="preserve">Внести в п</w:t>
      </w:r>
      <w:r w:rsidRPr="00CE5304">
        <w:rPr>
          <w:rFonts w:eastAsia="Calibri"/>
          <w:sz w:val="28"/>
          <w:szCs w:val="28"/>
        </w:rPr>
        <w:t xml:space="preserve">риказ исполняющего обязанности Министра энергетики Республики Казахстан</w:t>
      </w:r>
      <w:r w:rsidRPr="00CE5304">
        <w:rPr>
          <w:rFonts w:eastAsia="Calibri"/>
          <w:sz w:val="28"/>
          <w:szCs w:val="28"/>
          <w:lang w:val="kk-KZ"/>
        </w:rPr>
        <w:t xml:space="preserve"> </w:t>
      </w:r>
      <w:r w:rsidRPr="00CE5304">
        <w:rPr>
          <w:rFonts w:eastAsia="Calibri"/>
          <w:sz w:val="28"/>
          <w:szCs w:val="28"/>
        </w:rPr>
        <w:t xml:space="preserve">от 30 апреля 2021 года № 161 </w:t>
      </w:r>
      <w:r w:rsidRPr="00CE5304">
        <w:rPr>
          <w:rFonts w:eastAsia="Calibri"/>
          <w:sz w:val="28"/>
          <w:szCs w:val="28"/>
          <w:lang w:val="kk-KZ"/>
        </w:rPr>
        <w:t xml:space="preserve">«</w:t>
      </w:r>
      <w:r w:rsidRPr="00CE5304">
        <w:rPr>
          <w:rFonts w:eastAsia="Calibri"/>
          <w:sz w:val="28"/>
          <w:szCs w:val="28"/>
        </w:rPr>
        <w:t xml:space="preserve">Об утверждении Правил организации и проведения аукционных торгов на строительство вновь вводимых в эксплуатацию генерирующих установок с маневренным режимом генерации»</w:t>
      </w:r>
      <w:r w:rsidRPr="00CE5304">
        <w:rPr>
          <w:rFonts w:eastAsia="Calibri"/>
          <w:sz w:val="28"/>
          <w:szCs w:val="28"/>
          <w:lang w:val="kk-KZ"/>
        </w:rPr>
        <w:t xml:space="preserve"> </w:t>
      </w:r>
      <w:r w:rsidRPr="00CE5304">
        <w:rPr>
          <w:rFonts w:eastAsia="Calibri"/>
          <w:sz w:val="28"/>
          <w:szCs w:val="28"/>
        </w:rPr>
        <w:t xml:space="preserve">(зарегистрирован в Реестре государственной регистрации нормативных правовых актов за № 22727) </w:t>
      </w:r>
      <w:r w:rsidRPr="00CE5304">
        <w:rPr>
          <w:sz w:val="28"/>
          <w:szCs w:val="28"/>
        </w:rPr>
        <w:t xml:space="preserve">следующие изменения:</w:t>
      </w:r>
    </w:p>
    <w:p>
      <w:pPr>
        <w:tabs>
          <w:tab w:pos="0" w:val="left"/>
        </w:tabs>
        <w:ind w:firstLine="709"/>
        <w:jc w:val="both"/>
        <w:rPr>
          <w:sz w:val="28"/>
          <w:szCs w:val="28"/>
        </w:rPr>
      </w:pPr>
      <w:r w:rsidRPr="00CE5304">
        <w:rPr>
          <w:sz w:val="28"/>
          <w:szCs w:val="28"/>
        </w:rPr>
        <w:t xml:space="preserve">в </w:t>
      </w:r>
      <w:r w:rsidRPr="00CE5304">
        <w:rPr>
          <w:rFonts w:eastAsia="Calibri"/>
          <w:sz w:val="28"/>
          <w:szCs w:val="28"/>
        </w:rPr>
        <w:t xml:space="preserve">Правилах организации и проведения аукционных торгов на строительство вновь вводимых в эксплуатацию генерирующих установок с маневренным режимом генерации, утвержденных указанным приказом:</w:t>
      </w:r>
      <w:r w:rsidRPr="00CE5304">
        <w:rPr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 w:rsidRPr="00CE5304">
        <w:rPr>
          <w:sz w:val="28"/>
          <w:szCs w:val="28"/>
        </w:rPr>
        <w:t xml:space="preserve">пункт 89 изложить в новой редакции: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 xml:space="preserve">«89. По итогам проведенных аукционных торгов организатор аукционных торгов в течение 1 (одного) часа после закрытия торговой сессии отправляет участникам в электронном виде уведомления об итогах прошедших аукционных торгов. Письменные уведомления направляются участникам не позднее 18:00 часов времени города Астан</w:t>
      </w:r>
      <w:r w:rsidRPr="00CE5304">
        <w:rPr>
          <w:rFonts w:eastAsia="Calibri"/>
          <w:sz w:val="28"/>
          <w:szCs w:val="28"/>
          <w:lang w:val="kk-KZ"/>
        </w:rPr>
        <w:t xml:space="preserve">ы</w:t>
      </w:r>
      <w:r w:rsidRPr="00CE5304">
        <w:rPr>
          <w:rFonts w:eastAsia="Calibri"/>
          <w:sz w:val="28"/>
          <w:szCs w:val="28"/>
        </w:rPr>
        <w:t xml:space="preserve"> следующего рабочего дня.»;</w:t>
      </w:r>
    </w:p>
    <w:p>
      <w:pPr>
        <w:ind w:firstLine="709"/>
        <w:jc w:val="both"/>
        <w:rPr>
          <w:sz w:val="28"/>
          <w:szCs w:val="28"/>
        </w:rPr>
      </w:pPr>
      <w:r w:rsidRPr="00CE5304">
        <w:rPr>
          <w:sz w:val="28"/>
          <w:szCs w:val="28"/>
        </w:rPr>
        <w:t xml:space="preserve">пункт 97 изложить в новой редакции: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 xml:space="preserve"> «97. Банковская гарантия или резервный аккредитив, указанные в пункте 95 настоящих Правил, являются безотзывными, предусматривают их исполнение полностью или по частям по указанию получателя (бенефициара), со сроком действия: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 xml:space="preserve"> для газовых электростанций – не менее 50 (пятидесяти) месяцев с даты подписания договора покупки электрической мощности;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 xml:space="preserve">для гидроэлектростанций – не менее 61 (шестидесяти одного) месяцев с даты подписания договора покупки электрической мощности;</w:t>
      </w:r>
    </w:p>
    <w:p>
      <w:pPr>
        <w:tabs>
          <w:tab w:pos="0" w:val="left"/>
        </w:tabs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ab/>
      </w:r>
      <w:r w:rsidRPr="00CE5304">
        <w:rPr>
          <w:rFonts w:eastAsia="Calibri"/>
          <w:sz w:val="28"/>
          <w:szCs w:val="28"/>
        </w:rPr>
        <w:t xml:space="preserve">для генерирующих установок, не использующих полезные ископаемые в качестве топлива – не менее 38 (тридцати восьми) месяцев с даты подписания договора покупки электрической мощности.»;</w:t>
      </w:r>
    </w:p>
    <w:p>
      <w:pPr>
        <w:ind w:firstLine="709"/>
        <w:jc w:val="both"/>
        <w:rPr>
          <w:sz w:val="28"/>
          <w:szCs w:val="28"/>
        </w:rPr>
      </w:pPr>
      <w:r w:rsidRPr="00CE5304">
        <w:rPr>
          <w:sz w:val="28"/>
          <w:szCs w:val="28"/>
        </w:rPr>
        <w:t xml:space="preserve">пункт 101 изложить в новой редакции: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  <w:lang w:val="kk-KZ"/>
        </w:rPr>
        <w:t xml:space="preserve">«101. </w:t>
      </w:r>
      <w:bookmarkStart w:name="OLE_LINK20" w:id="0"/>
      <w:r w:rsidRPr="00CE5304">
        <w:rPr>
          <w:rFonts w:eastAsia="Calibri"/>
          <w:sz w:val="28"/>
          <w:szCs w:val="28"/>
        </w:rPr>
        <w:t xml:space="preserve">Требование на оплату по соответствующей банковской гарантии или резервному аккредитиву </w:t>
      </w:r>
      <w:bookmarkEnd w:id="0"/>
      <w:r w:rsidRPr="00CE5304">
        <w:rPr>
          <w:rFonts w:eastAsia="Calibri"/>
          <w:sz w:val="28"/>
          <w:szCs w:val="28"/>
        </w:rPr>
        <w:t xml:space="preserve">(соответствующему финансовому обеспечению), указанным в пункте 95 настоящих Правил, выставляется единым закупщиком в следующих случаях: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 xml:space="preserve"> 1) при не предоставлении копии уведомления о начале строительно-монтажных работ вновь вводимых в эксплуатацию генерирующих установок с маневренным режимом генерации (обеспечивающих исполнение договора покупки электрической мощности), направленного в государственный орган, осуществляющий государственный архитектурно-строительный контроль, при этом, для газовых электростанций и гидроэлектростанций в течение 24 (двадцати четырех) месяцев с даты подписания договора покупки электрической мощности - в размере 30% от суммы финансового обеспечения исполнения условий договора покупки;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  <w:lang w:val="kk-KZ"/>
        </w:rPr>
      </w:pPr>
      <w:r w:rsidRPr="00CE5304">
        <w:rPr>
          <w:rFonts w:eastAsia="Calibri"/>
          <w:sz w:val="28"/>
          <w:szCs w:val="28"/>
        </w:rPr>
        <w:t xml:space="preserve">2) при не предоставлении копии акта приемки в эксплуатацию вновь вводимых в эксплуатацию генерирующих установок с маневренным режимом генерации (обеспечивающих исполнение договора покупки электрической мощности), утвержденного в порядке, определенном Законом о строительной деятельности, при этом, для газовых электростанций данная копия предоставляется в течение срока, предусмотренного подпунктом 2) пункта 104 настоящих Правил, а для гидроэлектростанций – в течение 60 (шестидесяти) месяцев с даты подписания договора покупки электрической мощности – в размере 100% от суммы финансового обеспечения исполнения условий договора покупки, а в случае удержания части финансового обеспечения исполнения условий договора покупки в соответствии с подпунктом 1) настоящего пункта – 70% суммы финансового обеспечения исполнения условий договора покупки.</w:t>
      </w:r>
      <w:r w:rsidRPr="00CE5304">
        <w:rPr>
          <w:rFonts w:eastAsia="Calibri"/>
          <w:sz w:val="28"/>
          <w:szCs w:val="28"/>
          <w:lang w:val="kk-KZ"/>
        </w:rPr>
        <w:t xml:space="preserve">»;</w:t>
      </w:r>
    </w:p>
    <w:p>
      <w:pPr>
        <w:ind w:firstLine="709"/>
        <w:jc w:val="both"/>
        <w:rPr>
          <w:sz w:val="28"/>
          <w:szCs w:val="28"/>
        </w:rPr>
      </w:pPr>
      <w:r w:rsidRPr="00CE5304">
        <w:rPr>
          <w:sz w:val="28"/>
          <w:szCs w:val="28"/>
        </w:rPr>
        <w:t xml:space="preserve">пункт 104 изложить в новой редакции: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 xml:space="preserve">«104. После подписания договора покупки электрической мощности победитель аукционных торгов предоставляет единому закупщику следующие документы и информацию:</w:t>
      </w:r>
    </w:p>
    <w:p>
      <w:pPr>
        <w:tabs>
          <w:tab w:pos="0" w:val="left"/>
        </w:tabs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ab/>
      </w:r>
      <w:r w:rsidRPr="00CE5304">
        <w:rPr>
          <w:rFonts w:eastAsia="Calibri"/>
          <w:sz w:val="28"/>
          <w:szCs w:val="28"/>
        </w:rPr>
        <w:t xml:space="preserve">1) копию уведомления о начале строительно-монтажных работ, вновь вводимых в эксплуатацию генерирующих установок с маневренным режимом генерации (обеспечивающих исполнение договора покупки электрической мощности), направленного в государственный орган, осуществляющий государственный архитектурно-строительный контроль, при этом, для газовых электростанций и гидроэлектростанции эта копия предоставляется в течение 24 (двадцати четырех) месяцев с даты подписания договора покупки электрической мощности;</w:t>
      </w:r>
    </w:p>
    <w:p>
      <w:pPr>
        <w:tabs>
          <w:tab w:pos="0" w:val="left"/>
        </w:tabs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ab/>
      </w:r>
      <w:r w:rsidRPr="00CE5304">
        <w:rPr>
          <w:rFonts w:eastAsia="Calibri"/>
          <w:sz w:val="28"/>
          <w:szCs w:val="28"/>
        </w:rPr>
        <w:t xml:space="preserve">2) копию акта приемки в эксплуатацию вновь вводимых в эксплуатацию генерирующих установок с маневренным режимом генерации (обеспечивающих исполнение договора покупки электрической мощности), утвержденного в порядке, определенном Законом о строительной деятельности при этом, для газовых электростанций данная копия предоставляется в течение 48 (сорока восьми) месяцев с даты подписания договора покупки электрической мощности, для гидроэлектростанций – в течение 60 (шестидесяти) месяцев с даты подписания договора покупки электрической мощности;»;</w:t>
      </w:r>
    </w:p>
    <w:p>
      <w:pPr>
        <w:tabs>
          <w:tab w:pos="0" w:val="left"/>
        </w:tabs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ab/>
      </w:r>
      <w:r w:rsidRPr="00CE5304">
        <w:rPr>
          <w:rFonts w:eastAsia="Calibri"/>
          <w:sz w:val="28"/>
          <w:szCs w:val="28"/>
        </w:rPr>
        <w:t xml:space="preserve">3) информацию о ходе строительства вновь вводимых в эксплуатацию генерирующих установок с маневренным режимом генерации (обеспечивающих исполнение договора покупки электрической мощности) - по запросу единого закупщика;</w:t>
      </w:r>
    </w:p>
    <w:p>
      <w:pPr>
        <w:tabs>
          <w:tab w:pos="0" w:val="left"/>
        </w:tabs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ab/>
      </w:r>
      <w:r w:rsidRPr="00CE5304">
        <w:rPr>
          <w:rFonts w:eastAsia="Calibri"/>
          <w:sz w:val="28"/>
          <w:szCs w:val="28"/>
        </w:rPr>
        <w:t xml:space="preserve">4) финансовое обеспечение исполнения условий договора покупки электрической мощности – согласно пункту 95 настоящих Правил.</w:t>
      </w:r>
    </w:p>
    <w:p>
      <w:pPr>
        <w:tabs>
          <w:tab w:pos="0" w:val="left"/>
        </w:tabs>
        <w:ind w:firstLine="709"/>
        <w:jc w:val="both"/>
        <w:rPr>
          <w:rFonts w:eastAsia="Calibri"/>
          <w:sz w:val="28"/>
          <w:szCs w:val="28"/>
        </w:rPr>
      </w:pPr>
      <w:r w:rsidRPr="00CE5304">
        <w:rPr>
          <w:rFonts w:eastAsia="Calibri"/>
          <w:sz w:val="28"/>
          <w:szCs w:val="28"/>
        </w:rPr>
        <w:t xml:space="preserve">При этом, в процессе реализации проекта строительства генерирующей установки с маневренным режимом генерации победителем аукционных торгов, допускается отклонение объема услуги по поддержанию готовности электрической мощности указанного проекта от договорного объема услуги по поддержанию готовности электрической мощности, как в сторону увеличения, так и в сторону уменьшения до 15 (пятнадцать) % (от договорного объема услуги по поддержанию готовности электрической мощности), с последующей корректировкой договора покупки электрической мощности.»;</w:t>
      </w:r>
    </w:p>
    <w:p>
      <w:pPr>
        <w:ind w:firstLine="709"/>
        <w:jc w:val="both"/>
        <w:rPr>
          <w:bCs/>
          <w:sz w:val="28"/>
          <w:szCs w:val="28"/>
        </w:rPr>
      </w:pPr>
      <w:r w:rsidRPr="00CE5304">
        <w:rPr>
          <w:bCs/>
          <w:sz w:val="28"/>
          <w:szCs w:val="28"/>
        </w:rPr>
        <w:t xml:space="preserve">приложение 2 изложить в новой редакции согласно </w:t>
      </w:r>
      <w:r w:rsidRPr="00CE5304">
        <w:rPr>
          <w:bCs/>
          <w:sz w:val="28"/>
          <w:szCs w:val="28"/>
        </w:rPr>
        <w:t xml:space="preserve">приложению</w:t>
      </w:r>
      <w:r w:rsidRPr="00CE5304">
        <w:rPr>
          <w:bCs/>
          <w:sz w:val="28"/>
          <w:szCs w:val="28"/>
        </w:rPr>
        <w:t xml:space="preserve"> к </w:t>
      </w:r>
      <w:r w:rsidRPr="00CE5304">
        <w:rPr>
          <w:bCs/>
          <w:sz w:val="28"/>
          <w:szCs w:val="28"/>
          <w:lang w:val="kk-KZ"/>
        </w:rPr>
        <w:t xml:space="preserve">настоящему п</w:t>
      </w:r>
      <w:r w:rsidRPr="00CE5304">
        <w:rPr>
          <w:bCs/>
          <w:sz w:val="28"/>
          <w:szCs w:val="28"/>
        </w:rPr>
        <w:t xml:space="preserve">риказу</w:t>
      </w:r>
      <w:r w:rsidRPr="00CE5304">
        <w:rPr>
          <w:bCs/>
          <w:sz w:val="28"/>
          <w:szCs w:val="28"/>
        </w:rPr>
        <w:t xml:space="preserve">;</w:t>
      </w:r>
    </w:p>
    <w:p>
      <w:pPr>
        <w:spacing w:lineRule="auto" w:line="228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304">
        <w:rPr>
          <w:sz w:val="28"/>
          <w:szCs w:val="28"/>
        </w:rPr>
        <w:t xml:space="preserve">3. </w:t>
      </w:r>
      <w:r w:rsidRPr="00CE5304">
        <w:rPr>
          <w:rFonts w:eastAsia="Calibri"/>
          <w:sz w:val="28"/>
          <w:szCs w:val="28"/>
          <w:lang w:eastAsia="en-US"/>
        </w:rPr>
        <w:t xml:space="preserve">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p>
      <w:pPr>
        <w:spacing w:lineRule="auto" w:line="228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304">
        <w:rPr>
          <w:rFonts w:eastAsia="Calibri"/>
          <w:sz w:val="28"/>
          <w:szCs w:val="28"/>
          <w:lang w:eastAsia="en-US"/>
        </w:rPr>
        <w:t xml:space="preserve">1) государственную регистрацию настоящего приказа в Министерстве юстиции Республики Казахстан;</w:t>
      </w:r>
    </w:p>
    <w:p>
      <w:pPr>
        <w:spacing w:lineRule="auto" w:line="228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304">
        <w:rPr>
          <w:rFonts w:eastAsia="Calibri"/>
          <w:sz w:val="28"/>
          <w:szCs w:val="28"/>
          <w:lang w:eastAsia="en-US"/>
        </w:rPr>
        <w:t xml:space="preserve">2) размещение настоящего приказа на </w:t>
      </w:r>
      <w:r w:rsidRPr="00CE5304">
        <w:rPr>
          <w:rFonts w:eastAsia="Calibri"/>
          <w:sz w:val="28"/>
          <w:szCs w:val="28"/>
          <w:lang w:eastAsia="en-US"/>
        </w:rPr>
        <w:t xml:space="preserve">интернет-ресурсе</w:t>
      </w:r>
      <w:r w:rsidRPr="00CE5304">
        <w:rPr>
          <w:rFonts w:eastAsia="Calibri"/>
          <w:sz w:val="28"/>
          <w:szCs w:val="28"/>
          <w:lang w:eastAsia="en-US"/>
        </w:rPr>
        <w:t xml:space="preserve"> Министерства энергетики Республики Казахстан после его официального опубликования;</w:t>
      </w:r>
    </w:p>
    <w:p>
      <w:pPr>
        <w:spacing w:lineRule="auto" w:line="228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304">
        <w:rPr>
          <w:rFonts w:eastAsia="Calibri"/>
          <w:sz w:val="28"/>
          <w:szCs w:val="28"/>
          <w:lang w:eastAsia="en-US"/>
        </w:rPr>
        <w:t xml:space="preserve"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Департамента юридический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p>
      <w:pPr>
        <w:spacing w:lineRule="auto" w:line="228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304">
        <w:rPr>
          <w:sz w:val="28"/>
          <w:szCs w:val="28"/>
          <w:lang w:val="kk-KZ"/>
        </w:rPr>
        <w:t xml:space="preserve">4</w:t>
      </w:r>
      <w:r w:rsidRPr="00CE5304">
        <w:rPr>
          <w:sz w:val="28"/>
          <w:szCs w:val="28"/>
        </w:rPr>
        <w:t xml:space="preserve">.</w:t>
      </w:r>
      <w:r w:rsidRPr="00CE5304">
        <w:rPr>
          <w:color w:val="000000"/>
          <w:sz w:val="28"/>
          <w:szCs w:val="28"/>
        </w:rPr>
        <w:t xml:space="preserve"> Контроль за исполнением настоящего приказа возложить на курирующего вице-министра энергетики Республики Казахстан</w:t>
      </w:r>
      <w:r w:rsidRPr="00CE5304">
        <w:rPr>
          <w:sz w:val="28"/>
          <w:szCs w:val="28"/>
        </w:rPr>
        <w:t xml:space="preserve">.</w:t>
      </w:r>
    </w:p>
    <w:p>
      <w:pPr>
        <w:ind w:firstLine="709"/>
        <w:jc w:val="both"/>
        <w:rPr>
          <w:color w:val="000000"/>
          <w:sz w:val="28"/>
          <w:szCs w:val="28"/>
        </w:rPr>
      </w:pPr>
      <w:r w:rsidRPr="00CE5304">
        <w:rPr>
          <w:sz w:val="28"/>
          <w:szCs w:val="28"/>
          <w:lang w:val="kk-KZ"/>
        </w:rPr>
        <w:t xml:space="preserve">5</w:t>
      </w:r>
      <w:r w:rsidRPr="00CE5304">
        <w:rPr>
          <w:sz w:val="28"/>
          <w:szCs w:val="28"/>
        </w:rPr>
        <w:t xml:space="preserve">.</w:t>
      </w:r>
      <w:r w:rsidRPr="00CE5304">
        <w:rPr>
          <w:color w:val="000000"/>
          <w:sz w:val="28"/>
          <w:szCs w:val="28"/>
        </w:rPr>
        <w:t xml:space="preserve"> </w:t>
      </w:r>
      <w:r w:rsidRPr="00CE5304">
        <w:rPr>
          <w:sz w:val="28"/>
          <w:szCs w:val="28"/>
        </w:rPr>
        <w:t xml:space="preserve">Настоящий приказ вводится в действие </w:t>
      </w:r>
      <w:r w:rsidRPr="00CE5304">
        <w:rPr>
          <w:sz w:val="28"/>
          <w:szCs w:val="28"/>
          <w:lang w:val="kk-KZ"/>
        </w:rPr>
        <w:t xml:space="preserve">после дня</w:t>
      </w:r>
      <w:r w:rsidRPr="00CE5304">
        <w:rPr>
          <w:sz w:val="28"/>
          <w:szCs w:val="28"/>
        </w:rPr>
        <w:t xml:space="preserve"> его первого официального опубликования и распространяет свое действие на правоотношения, возникшие </w:t>
      </w:r>
      <w:r w:rsidRPr="00CE5304">
        <w:rPr>
          <w:sz w:val="28"/>
          <w:szCs w:val="28"/>
          <w:lang w:val="en-US"/>
        </w:rPr>
        <w:t xml:space="preserve">c</w:t>
      </w:r>
      <w:r w:rsidRPr="00CE5304">
        <w:rPr>
          <w:sz w:val="28"/>
          <w:szCs w:val="28"/>
        </w:rPr>
        <w:t xml:space="preserve"> 1 августа 2022 года.</w:t>
      </w:r>
    </w:p>
    <w:p>
      <w:pPr>
        <w:rPr/>
      </w:pPr>
      <w:bookmarkStart w:name="_GoBack" w:id="1"/>
      <w:bookmarkEnd w:id="1"/>
    </w:p>
    <w:p>
      <w:pPr>
        <w:rPr/>
      </w:pPr>
    </w:p>
    <w:tbl>
      <w:tblPr>
        <w:tblStyle w:val="TableGrid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4C3781">
        <w:trPr/>
        <w:tc>
          <w:tcPr>
            <w:tcW w:type="dxa" w:w="3652"/>
            <w:hideMark/>
          </w:tcPr>
          <w:p>
            <w:pPr/>
            <w:r>
              <w:rPr>
                <w:b/>
                <w:sz w:val="28"/>
              </w:rPr>
              <w:t xml:space="preserve">Исполняющий обязанности министра энергетики Республики Казахстан</w:t>
            </w:r>
          </w:p>
        </w:tc>
        <w:tc>
          <w:tcPr>
            <w:tcW w:type="dxa" w:w="2126"/>
          </w:tcPr>
          <w:p>
            <w:pPr/>
          </w:p>
        </w:tc>
        <w:tc>
          <w:tcPr>
            <w:tcW w:type="dxa" w:w="3152"/>
            <w:hideMark/>
          </w:tcPr>
          <w:p>
            <w:pPr/>
            <w:r>
              <w:rPr>
                <w:b/>
                <w:sz w:val="28"/>
              </w:rPr>
              <w:t xml:space="preserve">А. Жамауов</w:t>
            </w:r>
          </w:p>
        </w:tc>
      </w:tr>
    </w:tbl>
    <w:p>
      <w:pPr>
        <w:rPr/>
      </w:pPr>
    </w:p>
    <w:p>
      <w:pPr>
        <w:jc w:val="center"/>
        <w:rPr>
          <w:b/>
          <w:sz w:val="28"/>
          <w:lang w:val="kk-KZ"/>
        </w:rPr>
      </w:pPr>
    </w:p>
    <w:p>
      <w:pPr>
        <w:jc w:val="center"/>
        <w:rPr/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 15.02.2024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тіркеудің тізіліміне № 34001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согласования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энергетики Республики Казахстан - Директор департамента Кумусай Боранбай, 14.02.2024 19:46:05,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юстиции РК - Вице-министр юстиции Республики Казахстан Ботагоз Шаймардановна Жакселекова, 15.02.2024 16:34:31,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подписания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энергетики Республики Казахстан - Исполняющий обязанности министра энергетики Республики Казахстан А. Жамауов, 15.02.2024 17:27:21, положительный результат проверки ЭЦП</w:t>
      </w:r>
    </w:p>
    <w:sectPr w:rsidSect="00642211">
      <w:headerReference w:type="even" r:id="rId3"/>
      <w:headerReference w:type="default" r:id="rId4"/>
      <w:headerReference w:type="first" r:id="rId5"/>
      <w:footerReference w:type="first" r:id="rId12"/>
      <w:footerReference w:type="default" r:id="rId13"/>
      <w:pgSz w:orient="portrait" w:h="16838" w:w="11906"/>
      <w:pgMar w:gutter="0" w:footer="709" w:header="851" w:left="1418" w:bottom="993" w:right="849" w:top="1134"/>
      <w:cols w:num="1" w:space="708">
        <w:col w:space="708" w:w="9639"/>
      </w:cols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34001 болып енгізілді</w:t>
    </w:r>
  </w:p>
  <w:p>
    <w:pPr>
      <w:spacing w:after="0" w:before="0"/>
      <w:jc w:val="center"/>
    </w:pPr>
    <w:r>
      <w:t>ИС «ИПГО». Копия электронного документа. Дата  22.02.2024.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22.02.2024.</w:t>
    </w:r>
  </w:p>
</w:ftr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Auto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Auto"/>
    <w:pitch w:val="variable"/>
    <w:sig w:usb0="E00006FF" w:usb1="420024FF" w:usb2="02000000" w:usb3="00000000" w:csb0="0000019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5" o:spid="PowerPlusWaterMarkObject1054" type="#_x0000_t136" style="height:79.19pt;margin-left:0;margin-top:0;mso-position-horizontal:center;mso-position-horizontal-relative:margin;mso-position-vertical:center;mso-position-vertical-relative:margin;position:absolute;rotation:315;width:551.25pt;z-index:-2147483648" o:allowincell="f" fillcolor="#808080" stroked="f">
          <v:fill opacity="0.5"/>
          <v:textpath style="font-family:&quot;Times New Roman&quot;;font-size:70pt" string="ЗАМ 807185701"/>
          <w10:wrap anchorx="margin" anchory="margin"/>
        </v:shape>
      </w:pict>
    </w:r>
    <w:r>
      <w:rPr>
        <w:rStyle w:val="PageNumber"/>
      </w:rPr>
      <w:pgNum/>
    </w:r>
  </w:p>
  <w:p>
    <w:pPr>
      <w:pStyle w:val="Header"/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6" o:spid="PowerPlusWaterMarkObject1056" type="#_x0000_t136" style="height:79.19pt;margin-left:0;margin-top:0;mso-position-horizontal:center;mso-position-horizontal-relative:margin;mso-position-vertical:center;mso-position-vertical-relative:margin;position:absolute;rotation:315;width:551.25pt;z-index:-2147483648" o:allowincell="f" fillcolor="#808080" stroked="f">
          <v:fill opacity="0.5"/>
          <v:textpath style="font-family:&quot;Times New Roman&quot;;font-size:70pt" string="ЗАМ 807185701"/>
          <w10:wrap anchorx="margin" anchory="margin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827">
      <w:rPr>
        <w:rStyle w:val="PageNumber"/>
        <w:noProof/>
      </w:rPr>
      <w:t xml:space="preserve">5</w:t>
    </w:r>
    <w:r>
      <w:rPr>
        <w:rStyle w:val="PageNumber"/>
      </w:rPr>
      <w:fldChar w:fldCharType="end"/>
    </w:r>
  </w:p>
  <w:p>
    <w:pPr>
      <w:pStyle w:val="Header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NormalTable"/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</w:t>
          </w:r>
          <w:r>
            <w:rPr>
              <w:b/>
              <w:bCs/>
              <w:color w:val="3399FF"/>
            </w:rPr>
            <w:t xml:space="preserve"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 xml:space="preserve">РЕСПУБЛИКАСЫ</w:t>
          </w:r>
          <w:r>
            <w:rPr>
              <w:b/>
              <w:bCs/>
              <w:color w:val="3399FF"/>
              <w:lang w:val="kk-KZ"/>
            </w:rPr>
            <w:t xml:space="preserve">НЫҢ</w:t>
          </w:r>
        </w:p>
        <w:p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 xml:space="preserve"> </w:t>
          </w:r>
          <w:r w:rsidR="008647CD">
            <w:rPr>
              <w:b/>
              <w:bCs/>
              <w:color w:val="3399FF"/>
              <w:lang w:val="kk-KZ"/>
            </w:rPr>
            <w:t xml:space="preserve">ЭНЕРГЕТИКА</w:t>
          </w:r>
          <w:r w:rsidRPr="005D1846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eastAsia="zh-CN"/>
            </w:rPr>
            <w:drawing>
              <wp:inline distT="0" distB="0" distL="0" distR="0">
                <wp:extent cx="972820" cy="972820"/>
                <wp:effectExtent l="0" t="0" r="0" b="0"/>
                <wp:docPr id="7" name="Picture 1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ЭНЕРГЕТИКИ</w:t>
          </w:r>
        </w:p>
        <w:p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 xml:space="preserve">БҰЙРЫҚ</w:t>
          </w: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noProof/>
              <w:color w:val="3399FF"/>
              <w:sz w:val="22"/>
              <w:szCs w:val="22"/>
              <w:lang w:eastAsia="zh-CN"/>
            </w:rPr>
            <mc:AlternateContent xmlns:mc="http://schemas.openxmlformats.org/markup-compatibility/2006">
              <mc:Choice Requires="wps">
                <w:drawing>
                  <wp:anchor distT="0" distB="0" distL="114300" distR="114300" simplePos="0" relativeHeight="251657728" behindDoc="0" locked="0" layoutInCell="1" allowOverlap="1" hidden="0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8" name="Line 26" hidden="0"/>
                    <wp:cNvGraphicFramePr>
                      <a:graphicFrameLocks noChangeAspect="1"/>
                    </wp:cNvGraphicFramePr>
                    <a:graphic>
                      <a:graphicData uri="http://schemas.microsoft.com/office/word/2010/wordprocessingShape">
                        <wps:wsp>
                          <wps:cNvSpPr/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anchor="t" upright="1">
                            <a:noAutofit/>
                          </wps:bodyPr>
                        </wps:wsp>
                      </a:graphicData>
                    </a:graphic>
                    <wp14:sizeRelH xmlns:wp14="http://schemas.microsoft.com/office/word/2010/wordprocessingDrawing" relativeFrom="page">
                      <wp14:pctWidth>0</wp14:pctWidth>
                    </wp14:sizeRelH>
                    <wp14:sizeRelV xmlns:wp14="http://schemas.microsoft.com/office/word/2010/wordprocessingDrawing"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6" o:spid="_x0000_s1057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7728" o:bwmode="auto" from="-309.95pt,5.55pt" to="194.9pt,5.55pt" strokecolor="#39f" strokeweight="1.25pt">
                    <v:stroke joinstyle="round"/>
                    <w10:bordertop type="single" width="10"/>
                    <w10:borderleft type="single" width="10"/>
                    <w10:borderbottom type="single" width="10"/>
                    <w10:borderright type="single" width="10"/>
                  </v:line>
                </w:pict>
              </mc:Fallback>
            </mc:AlternateContent>
          </w:r>
        </w:p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 xml:space="preserve">ПРИКАЗ</w:t>
          </w:r>
        </w:p>
      </w:tc>
    </w:tr>
  </w:tbl>
  <w:p>
    <w:pPr>
      <w:pStyle w:val="Header"/>
      <w:rPr>
        <w:color w:val="3A7298"/>
        <w:sz w:val="22"/>
        <w:szCs w:val="22"/>
        <w:lang w:val="kk-KZ"/>
      </w:rPr>
    </w:pPr>
    <w:r>
      <w:pict>
        <v:shape id="PowerPlusWaterMarkObject1027" o:spid="PowerPlusWaterMarkObject1059" type="#_x0000_t136" style="height:79.19pt;margin-left:0;margin-top:0;mso-position-horizontal:center;mso-position-horizontal-relative:margin;mso-position-vertical:center;mso-position-vertical-relative:margin;position:absolute;rotation:315;width:551.25pt;z-index:-2147483648" o:allowincell="f" fillcolor="#808080" stroked="f">
          <v:fill opacity="0.5"/>
          <v:textpath style="font-family:&quot;Times New Roman&quot;;font-size:70pt" string="ЗАМ 807185701"/>
          <w10:wrap anchorx="margin" anchory="margin"/>
        </v:shape>
      </w:pict>
    </w:r>
  </w:p>
  <w:p>
    <w:pPr>
      <w:pStyle w:val="Header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63 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15 февраля 2024 года</w:t>
    </w:r>
  </w:p>
  <w:p>
    <w:pPr>
      <w:rPr>
        <w:color w:val="3A7234"/>
        <w:sz w:val="14"/>
        <w:szCs w:val="14"/>
        <w:lang w:val="kk-KZ"/>
      </w:rPr>
    </w:pPr>
  </w:p>
  <w:p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40"/>
      <w:numFmt w:val="decimal"/>
      <w:suff w:val="tab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780"/>
        </w:tabs>
        <w:ind w:left="178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500"/>
        </w:tabs>
        <w:ind w:left="250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220"/>
        </w:tabs>
        <w:ind w:left="322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3940"/>
        </w:tabs>
        <w:ind w:left="394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660"/>
        </w:tabs>
        <w:ind w:left="466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380"/>
        </w:tabs>
        <w:ind w:left="538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100"/>
        </w:tabs>
        <w:ind w:left="610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820"/>
        </w:tabs>
        <w:ind w:left="6820" w:hanging="180"/>
      </w:pPr>
      <w:rPr/>
    </w:lvl>
  </w:abstractNum>
  <w:abstractNum w:abstractNumId="3">
    <w:multiLevelType w:val="hybridMultilevel"/>
    <w:lvl w:ilvl="0">
      <w:start w:val="3"/>
      <w:numFmt w:val="decimal"/>
      <w:suff w:val="tab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1"/>
      <w:numFmt w:val="lowerLetter"/>
      <w:suff w:val="tab"/>
      <w:lvlText w:val="%2."/>
      <w:lvlJc w:val="left"/>
      <w:pPr>
        <w:ind w:left="3916" w:hanging="360"/>
      </w:pPr>
      <w:rPr/>
    </w:lvl>
    <w:lvl w:ilvl="2">
      <w:start w:val="1"/>
      <w:numFmt w:val="lowerRoman"/>
      <w:suff w:val="tab"/>
      <w:lvlText w:val="%3."/>
      <w:lvlJc w:val="right"/>
      <w:pPr>
        <w:ind w:left="4636" w:hanging="180"/>
      </w:pPr>
      <w:rPr/>
    </w:lvl>
    <w:lvl w:ilvl="3">
      <w:start w:val="1"/>
      <w:numFmt w:val="decimal"/>
      <w:suff w:val="tab"/>
      <w:lvlText w:val="%4."/>
      <w:lvlJc w:val="left"/>
      <w:pPr>
        <w:ind w:left="5356" w:hanging="360"/>
      </w:pPr>
      <w:rPr/>
    </w:lvl>
    <w:lvl w:ilvl="4">
      <w:start w:val="1"/>
      <w:numFmt w:val="lowerLetter"/>
      <w:suff w:val="tab"/>
      <w:lvlText w:val="%5."/>
      <w:lvlJc w:val="left"/>
      <w:pPr>
        <w:ind w:left="6076" w:hanging="360"/>
      </w:pPr>
      <w:rPr/>
    </w:lvl>
    <w:lvl w:ilvl="5">
      <w:start w:val="1"/>
      <w:numFmt w:val="lowerRoman"/>
      <w:suff w:val="tab"/>
      <w:lvlText w:val="%6."/>
      <w:lvlJc w:val="right"/>
      <w:pPr>
        <w:ind w:left="6796" w:hanging="180"/>
      </w:pPr>
      <w:rPr/>
    </w:lvl>
    <w:lvl w:ilvl="6">
      <w:start w:val="1"/>
      <w:numFmt w:val="decimal"/>
      <w:suff w:val="tab"/>
      <w:lvlText w:val="%7."/>
      <w:lvlJc w:val="left"/>
      <w:pPr>
        <w:ind w:left="7516" w:hanging="360"/>
      </w:pPr>
      <w:rPr/>
    </w:lvl>
    <w:lvl w:ilvl="7">
      <w:start w:val="1"/>
      <w:numFmt w:val="lowerLetter"/>
      <w:suff w:val="tab"/>
      <w:lvlText w:val="%8."/>
      <w:lvlJc w:val="left"/>
      <w:pPr>
        <w:ind w:left="8236" w:hanging="360"/>
      </w:pPr>
      <w:rPr/>
    </w:lvl>
    <w:lvl w:ilvl="8">
      <w:start w:val="1"/>
      <w:numFmt w:val="lowerRoman"/>
      <w:suff w:val="tab"/>
      <w:lvlText w:val="%9."/>
      <w:lvlJc w:val="right"/>
      <w:pPr>
        <w:ind w:left="8956" w:hanging="180"/>
      </w:pPr>
      <w:rPr/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5" w:hanging="180"/>
      </w:pPr>
      <w:rPr/>
    </w:lvl>
    <w:lvl w:ilvl="3">
      <w:start w:val="1"/>
      <w:numFmt w:val="decimal"/>
      <w:suff w:val="tab"/>
      <w:lvlText w:val="%4."/>
      <w:lvlJc w:val="left"/>
      <w:pPr>
        <w:ind w:left="3225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5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5" w:hanging="180"/>
      </w:pPr>
      <w:rPr/>
    </w:lvl>
    <w:lvl w:ilvl="6">
      <w:start w:val="1"/>
      <w:numFmt w:val="decimal"/>
      <w:suff w:val="tab"/>
      <w:lvlText w:val="%7."/>
      <w:lvlJc w:val="left"/>
      <w:pPr>
        <w:ind w:left="5385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5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5" w:hanging="180"/>
      </w:pPr>
      <w:rPr/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669"/>
        </w:tabs>
        <w:ind w:left="1669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389"/>
        </w:tabs>
        <w:ind w:left="2389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3109"/>
        </w:tabs>
        <w:ind w:left="3109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829"/>
        </w:tabs>
        <w:ind w:left="3829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549"/>
        </w:tabs>
        <w:ind w:left="4549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269"/>
        </w:tabs>
        <w:ind w:left="5269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989"/>
        </w:tabs>
        <w:ind w:left="5989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709"/>
        </w:tabs>
        <w:ind w:left="6709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429"/>
        </w:tabs>
        <w:ind w:left="7429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bordersDoNotSurroundHeader/>
  <w:bordersDoNotSurroundFooter/>
  <w:proofState w:grammar="clean" w:spelling="clean"/>
  <w:stylePaneFormatFilter w:val="3F01"/>
  <w:doNotTrackMoves/>
  <w:defaultTabStop w:val="708"/>
  <w:characterSpacingControl w:val="doNotCompress"/>
  <w:compat>
    <w:useFELayout/>
    <w:compatSetting w:val="1" w:uri="http://schemas.microsoft.com/office/word" w:name="doNotFlipMirrorIndents"/>
    <w:compatSetting w:val="1" w:uri="http://schemas.microsoft.com/office/word" w:name="enableOpenTypeFeatures"/>
    <w:compatSetting w:val="1" w:uri="http://schemas.microsoft.com/office/word" w:name="overrideTableStyleFontSizeAndJustification"/>
    <w:compatSetting w:val="15" w:uri="http://schemas.microsoft.com/office/word" w:name="compatibilityMode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bidi="ar-SA" w:eastAsia="zh-CN"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62"/>
    <w:pPr>
      <w:overflowPunct w:val="0"/>
      <w:autoSpaceDE w:val="0"/>
      <w:autoSpaceDN w:val="0"/>
      <w:adjustRightInd w:val="0"/>
    </w:pPr>
    <w:rPr/>
  </w:style>
  <w:style w:type="paragraph" w:styleId="Heading2">
    <w:name w:val="Heading 2"/>
    <w:basedOn w:val="Normal"/>
    <w:next w:val="Normal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paragraph" w:customStyle="1" w:styleId="Знак_0">
    <w:name w:val="Знак_0"/>
    <w:basedOn w:val="Normal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BodyTextIndent">
    <w:name w:val="Body Text Indent"/>
    <w:basedOn w:val="Normal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Title">
    <w:name w:val="Title"/>
    <w:basedOn w:val="Normal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Subtitle">
    <w:name w:val="Subtitle"/>
    <w:basedOn w:val="Normal"/>
    <w:link w:val="ПодзаголовокЗнак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NoSpacing">
    <w:name w:val="No Spacing"/>
    <w:qFormat/>
    <w:rsid w:val="00A47D62"/>
    <w:rPr>
      <w:sz w:val="24"/>
      <w:szCs w:val="24"/>
    </w:rPr>
  </w:style>
  <w:style w:type="paragraph" w:customStyle="1" w:styleId="СтильСлева:0смВыступ:15см">
    <w:name w:val="Стиль Слева:  0 см Выступ:  15 см"/>
    <w:basedOn w:val="Normal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ПодзаголовокЗнак">
    <w:name w:val="Подзаголовок Знак"/>
    <w:link w:val="Subtitle"/>
    <w:rsid w:val="00A47D62"/>
    <w:rPr>
      <w:sz w:val="28"/>
      <w:szCs w:val="24"/>
      <w:lang w:val="ru-RU" w:eastAsia="ru-RU" w:bidi="ar-SA"/>
    </w:rPr>
  </w:style>
  <w:style w:type="table" w:styleId="TableGrid">
    <w:name w:val="Table Grid"/>
    <w:basedOn w:val="NormalTable"/>
    <w:rsid w:val="00A47D62"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ЗнакЗнакЗнак1Знак">
    <w:name w:val="Знак Знак Знак1 Знак"/>
    <w:basedOn w:val="Normal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Знак_1">
    <w:name w:val="Знак_1"/>
    <w:basedOn w:val="Normal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2">
    <w:name w:val="Body Text Indent 2"/>
    <w:basedOn w:val="Normal"/>
    <w:rsid w:val="001763DE"/>
    <w:pPr>
      <w:spacing w:after="120" w:line="480" w:lineRule="auto"/>
      <w:ind w:left="283"/>
    </w:pPr>
    <w:rPr/>
  </w:style>
  <w:style w:type="character" w:styleId="Hyperlink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ЗнакЗнакЗнак">
    <w:name w:val="Знак Знак Знак"/>
    <w:basedOn w:val="Normal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(Web)">
    <w:name w:val="Normal (Web)"/>
    <w:basedOn w:val="Normal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BE78CA"/>
    <w:rPr/>
  </w:style>
  <w:style w:type="character" w:styleId="Strong">
    <w:name w:val="Strong"/>
    <w:qFormat/>
    <w:rsid w:val="007111E8"/>
    <w:rPr>
      <w:b/>
      <w:bCs/>
    </w:rPr>
  </w:style>
  <w:style w:type="paragraph" w:styleId="Footer">
    <w:name w:val="Footer"/>
    <w:basedOn w:val="Normal"/>
    <w:link w:val="НижнийколонтитулЗнак"/>
    <w:rsid w:val="004726FE"/>
    <w:pPr>
      <w:tabs>
        <w:tab w:val="center" w:pos="4677"/>
        <w:tab w:val="right" w:pos="9355"/>
      </w:tabs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rsid w:val="004726FE"/>
    <w:rPr/>
  </w:style>
  <w:style w:type="paragraph" w:customStyle="1" w:styleId="Знак_2">
    <w:name w:val="Знак_2"/>
    <w:basedOn w:val="Normal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_3">
    <w:name w:val="Знак_3"/>
    <w:basedOn w:val="Normal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">
    <w:name w:val="Знак"/>
    <w:basedOn w:val="Normal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fontTable" Target="fontTable.xml"/>
    <Relationship Id="rId11" Type="http://schemas.openxmlformats.org/officeDocument/2006/relationships/settings" Target="settings.xml"/>
    <Relationship Id="rId2" Type="http://schemas.openxmlformats.org/officeDocument/2006/relationships/customXml" Target="../customXml/item2.xml"/>
    <Relationship Id="rId3" Type="http://schemas.openxmlformats.org/officeDocument/2006/relationships/header" Target="header1.xml"/>
    <Relationship Id="rId4" Type="http://schemas.openxmlformats.org/officeDocument/2006/relationships/header" Target="header2.xml"/>
    <Relationship Id="rId5" Type="http://schemas.openxmlformats.org/officeDocument/2006/relationships/header" Target="header3.xml"/>
    <Relationship Id="rId6" Type="http://schemas.openxmlformats.org/officeDocument/2006/relationships/theme" Target="theme/theme1.xml"/>
    <Relationship Id="rId7" Type="http://schemas.openxmlformats.org/officeDocument/2006/relationships/styles" Target="styles.xml"/>
    <Relationship Id="rId8" Type="http://schemas.openxmlformats.org/officeDocument/2006/relationships/webSettings" Target="webSettings.xml"/>
    <Relationship Id="rId9" Type="http://schemas.openxmlformats.org/officeDocument/2006/relationships/numbering" Target="numbering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2024-02-14T12:31:00Z</dcterms:created>
  <dc:creator>user</dc:creator>
  <lastModifiedBy>Меруерт Низамутдинова</lastModifiedBy>
  <dcterms:modified xsi:type="dcterms:W3CDTF">2024-02-14T12:31:00Z</dcterms:modified>
  <revision>2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10074</Characters>
  <Application>Microsoft Office Word</Application>
  <DocSecurity>0</DocSecurity>
  <Lines>83</Lines>
  <Paragraphs>22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11368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5</Pages>
  <Words>1316</Words>
  <Characters>10074</Characters>
  <Application>Microsoft Office Word</Application>
  <DocSecurity>0</DocSecurity>
  <Lines>83</Lines>
  <Paragraphs>22</Paragraphs>
  <Company>АО НИТ</Company>
  <CharactersWithSpaces>11368</CharactersWithSpaces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2024-02-14T12:31:00Z</dcterms:created>
  <dc:creator>user</dc:creator>
  <lastModifiedBy>Меруерт Низамутдинова</lastModifiedBy>
  <dcterms:modified xsi:type="dcterms:W3CDTF">2024-02-14T12:31:00Z</dcterms:modified>
  <revision>2</revision>
  <dc:title>ЌАЗАЌСТАН</dc:title>
</coreProperties>
</file>